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color w:val="auto"/>
          <w:sz w:val="32"/>
          <w:szCs w:val="32"/>
        </w:rPr>
      </w:pPr>
    </w:p>
    <w:p>
      <w:pPr>
        <w:spacing w:line="360" w:lineRule="auto"/>
        <w:jc w:val="center"/>
        <w:rPr>
          <w:rFonts w:ascii="仿宋" w:hAnsi="仿宋" w:eastAsia="仿宋"/>
          <w:color w:val="auto"/>
          <w:sz w:val="32"/>
          <w:szCs w:val="32"/>
        </w:rPr>
      </w:pPr>
      <w:bookmarkStart w:id="56" w:name="_GoBack"/>
      <w:bookmarkEnd w:id="56"/>
    </w:p>
    <w:p>
      <w:pPr>
        <w:spacing w:line="360" w:lineRule="auto"/>
        <w:jc w:val="center"/>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jc w:val="center"/>
        <w:rPr>
          <w:rFonts w:ascii="仿宋" w:hAnsi="仿宋" w:eastAsia="仿宋"/>
          <w:color w:val="auto"/>
          <w:sz w:val="32"/>
          <w:szCs w:val="32"/>
        </w:rPr>
      </w:pPr>
      <w:r>
        <w:rPr>
          <w:rFonts w:ascii="仿宋" w:hAnsi="仿宋" w:eastAsia="仿宋"/>
          <w:color w:val="auto"/>
          <w:sz w:val="32"/>
          <w:szCs w:val="32"/>
        </w:rPr>
        <w:t>枣</w:t>
      </w:r>
      <w:r>
        <w:rPr>
          <w:rFonts w:hint="eastAsia" w:ascii="仿宋" w:hAnsi="仿宋" w:eastAsia="仿宋"/>
          <w:color w:val="auto"/>
          <w:sz w:val="32"/>
          <w:szCs w:val="32"/>
        </w:rPr>
        <w:t>高</w:t>
      </w:r>
      <w:r>
        <w:rPr>
          <w:rFonts w:ascii="仿宋" w:hAnsi="仿宋" w:eastAsia="仿宋"/>
          <w:color w:val="auto"/>
          <w:sz w:val="32"/>
          <w:szCs w:val="32"/>
        </w:rPr>
        <w:t>财〔2021〕</w:t>
      </w:r>
      <w:r>
        <w:rPr>
          <w:rFonts w:hint="eastAsia" w:ascii="仿宋" w:hAnsi="仿宋" w:eastAsia="仿宋"/>
          <w:color w:val="auto"/>
          <w:sz w:val="32"/>
          <w:szCs w:val="32"/>
          <w:lang w:val="en-US" w:eastAsia="zh-CN"/>
        </w:rPr>
        <w:t>19</w:t>
      </w:r>
      <w:r>
        <w:rPr>
          <w:rFonts w:ascii="仿宋" w:hAnsi="仿宋" w:eastAsia="仿宋"/>
          <w:color w:val="auto"/>
          <w:sz w:val="32"/>
          <w:szCs w:val="32"/>
        </w:rPr>
        <w:t>号</w:t>
      </w:r>
    </w:p>
    <w:p>
      <w:pPr>
        <w:spacing w:line="360" w:lineRule="auto"/>
        <w:jc w:val="center"/>
        <w:rPr>
          <w:rFonts w:ascii="仿宋" w:hAnsi="仿宋" w:eastAsia="仿宋"/>
          <w:color w:val="auto"/>
          <w:sz w:val="32"/>
          <w:szCs w:val="32"/>
        </w:rPr>
      </w:pPr>
    </w:p>
    <w:p>
      <w:pPr>
        <w:spacing w:line="360" w:lineRule="auto"/>
        <w:jc w:val="center"/>
        <w:rPr>
          <w:rFonts w:asciiTheme="majorEastAsia" w:hAnsiTheme="majorEastAsia" w:eastAsiaTheme="majorEastAsia"/>
          <w:b/>
          <w:color w:val="auto"/>
          <w:sz w:val="44"/>
          <w:szCs w:val="44"/>
        </w:rPr>
      </w:pPr>
      <w:r>
        <w:rPr>
          <w:rFonts w:asciiTheme="majorEastAsia" w:hAnsiTheme="majorEastAsia" w:eastAsiaTheme="majorEastAsia"/>
          <w:b/>
          <w:color w:val="auto"/>
          <w:sz w:val="44"/>
          <w:szCs w:val="44"/>
        </w:rPr>
        <w:t>关于印发《枣庄</w:t>
      </w:r>
      <w:r>
        <w:rPr>
          <w:rFonts w:hint="eastAsia" w:asciiTheme="majorEastAsia" w:hAnsiTheme="majorEastAsia" w:eastAsiaTheme="majorEastAsia"/>
          <w:b/>
          <w:color w:val="auto"/>
          <w:sz w:val="44"/>
          <w:szCs w:val="44"/>
        </w:rPr>
        <w:t>高新区区级</w:t>
      </w:r>
      <w:r>
        <w:rPr>
          <w:rFonts w:asciiTheme="majorEastAsia" w:hAnsiTheme="majorEastAsia" w:eastAsiaTheme="majorEastAsia"/>
          <w:b/>
          <w:color w:val="auto"/>
          <w:sz w:val="44"/>
          <w:szCs w:val="44"/>
        </w:rPr>
        <w:t>部门和单位</w:t>
      </w:r>
    </w:p>
    <w:p>
      <w:pPr>
        <w:spacing w:line="360" w:lineRule="auto"/>
        <w:jc w:val="center"/>
        <w:rPr>
          <w:rFonts w:asciiTheme="majorEastAsia" w:hAnsiTheme="majorEastAsia" w:eastAsiaTheme="majorEastAsia"/>
          <w:b/>
          <w:color w:val="auto"/>
          <w:sz w:val="44"/>
          <w:szCs w:val="44"/>
        </w:rPr>
      </w:pPr>
      <w:r>
        <w:rPr>
          <w:rFonts w:asciiTheme="majorEastAsia" w:hAnsiTheme="majorEastAsia" w:eastAsiaTheme="majorEastAsia"/>
          <w:b/>
          <w:color w:val="auto"/>
          <w:sz w:val="44"/>
          <w:szCs w:val="44"/>
        </w:rPr>
        <w:t>整体绩效管理暂行办法》的通知</w:t>
      </w:r>
    </w:p>
    <w:p>
      <w:pPr>
        <w:spacing w:line="360" w:lineRule="auto"/>
        <w:jc w:val="center"/>
        <w:rPr>
          <w:rFonts w:ascii="仿宋" w:hAnsi="仿宋" w:eastAsia="仿宋"/>
          <w:color w:val="auto"/>
          <w:sz w:val="32"/>
          <w:szCs w:val="32"/>
        </w:rPr>
      </w:pPr>
    </w:p>
    <w:p>
      <w:pPr>
        <w:pStyle w:val="4"/>
        <w:spacing w:before="0" w:beforeAutospacing="0" w:after="0" w:afterAutospacing="0" w:line="360" w:lineRule="auto"/>
        <w:rPr>
          <w:rFonts w:ascii="仿宋" w:hAnsi="仿宋" w:eastAsia="仿宋"/>
          <w:color w:val="auto"/>
          <w:sz w:val="32"/>
          <w:szCs w:val="32"/>
        </w:rPr>
      </w:pPr>
      <w:r>
        <w:rPr>
          <w:rFonts w:ascii="仿宋" w:hAnsi="仿宋" w:eastAsia="仿宋"/>
          <w:color w:val="auto"/>
          <w:sz w:val="32"/>
          <w:szCs w:val="32"/>
        </w:rPr>
        <w:t>各</w:t>
      </w:r>
      <w:r>
        <w:rPr>
          <w:rFonts w:hint="eastAsia" w:ascii="仿宋" w:hAnsi="仿宋" w:eastAsia="仿宋"/>
          <w:color w:val="auto"/>
          <w:sz w:val="32"/>
          <w:szCs w:val="32"/>
        </w:rPr>
        <w:t>街道办事处、</w:t>
      </w:r>
      <w:r>
        <w:rPr>
          <w:rFonts w:ascii="仿宋" w:hAnsi="仿宋" w:eastAsia="仿宋"/>
          <w:color w:val="auto"/>
          <w:sz w:val="32"/>
          <w:szCs w:val="32"/>
        </w:rPr>
        <w:t>各部门</w:t>
      </w:r>
      <w:r>
        <w:rPr>
          <w:rFonts w:hint="eastAsia" w:ascii="仿宋" w:hAnsi="仿宋" w:eastAsia="仿宋"/>
          <w:color w:val="auto"/>
          <w:sz w:val="32"/>
          <w:szCs w:val="32"/>
        </w:rPr>
        <w:t>单位，</w:t>
      </w:r>
      <w:r>
        <w:rPr>
          <w:rFonts w:ascii="仿宋" w:hAnsi="仿宋" w:eastAsia="仿宋"/>
          <w:color w:val="auto"/>
          <w:sz w:val="32"/>
          <w:szCs w:val="32"/>
        </w:rPr>
        <w:t>各</w:t>
      </w:r>
      <w:r>
        <w:rPr>
          <w:rFonts w:hint="eastAsia" w:ascii="仿宋" w:hAnsi="仿宋" w:eastAsia="仿宋"/>
          <w:color w:val="auto"/>
          <w:sz w:val="32"/>
          <w:szCs w:val="32"/>
        </w:rPr>
        <w:t>集团、运营公司</w:t>
      </w:r>
      <w:r>
        <w:rPr>
          <w:rFonts w:ascii="仿宋" w:hAnsi="仿宋" w:eastAsia="仿宋"/>
          <w:color w:val="auto"/>
          <w:sz w:val="32"/>
          <w:szCs w:val="32"/>
        </w:rPr>
        <w:t>：</w:t>
      </w:r>
    </w:p>
    <w:p>
      <w:pPr>
        <w:pStyle w:val="4"/>
        <w:spacing w:before="0" w:beforeAutospacing="0" w:after="0" w:afterAutospacing="0" w:line="360" w:lineRule="auto"/>
        <w:ind w:firstLine="640" w:firstLineChars="200"/>
        <w:rPr>
          <w:rFonts w:ascii="仿宋" w:hAnsi="仿宋" w:eastAsia="仿宋"/>
          <w:color w:val="auto"/>
          <w:sz w:val="32"/>
          <w:szCs w:val="32"/>
        </w:rPr>
      </w:pPr>
      <w:r>
        <w:rPr>
          <w:rFonts w:ascii="仿宋" w:hAnsi="仿宋" w:eastAsia="仿宋"/>
          <w:color w:val="auto"/>
          <w:sz w:val="32"/>
          <w:szCs w:val="32"/>
        </w:rPr>
        <w:t>为加快构建全方位、全过程、全覆盖的预算绩效管理体系， 推动绩效管理实施对象从政策和项目向部门和单位整体绩效拓展，提高部门和单位整体绩效水平，根据《</w:t>
      </w:r>
      <w:r>
        <w:rPr>
          <w:rFonts w:hint="eastAsia" w:ascii="仿宋" w:hAnsi="仿宋" w:eastAsia="仿宋"/>
          <w:bCs/>
          <w:color w:val="auto"/>
          <w:sz w:val="32"/>
          <w:szCs w:val="32"/>
        </w:rPr>
        <w:t>枣庄高新区</w:t>
      </w:r>
      <w:r>
        <w:rPr>
          <w:rFonts w:ascii="仿宋" w:hAnsi="仿宋" w:eastAsia="仿宋"/>
          <w:bCs/>
          <w:color w:val="auto"/>
          <w:sz w:val="32"/>
          <w:szCs w:val="32"/>
        </w:rPr>
        <w:t>部门单位预算绩效管理办法</w:t>
      </w:r>
      <w:r>
        <w:rPr>
          <w:rFonts w:ascii="仿宋" w:hAnsi="仿宋" w:eastAsia="仿宋"/>
          <w:color w:val="auto"/>
          <w:sz w:val="32"/>
          <w:szCs w:val="32"/>
        </w:rPr>
        <w:t>》（</w:t>
      </w:r>
      <w:r>
        <w:rPr>
          <w:rFonts w:hint="eastAsia" w:ascii="仿宋" w:hAnsi="仿宋" w:eastAsia="仿宋"/>
          <w:color w:val="auto"/>
          <w:sz w:val="32"/>
          <w:szCs w:val="32"/>
        </w:rPr>
        <w:t>枣高管办发</w:t>
      </w:r>
      <w:r>
        <w:rPr>
          <w:rFonts w:ascii="仿宋" w:hAnsi="仿宋" w:eastAsia="仿宋"/>
          <w:color w:val="auto"/>
          <w:sz w:val="32"/>
          <w:szCs w:val="32"/>
        </w:rPr>
        <w:t>〔20</w:t>
      </w:r>
      <w:r>
        <w:rPr>
          <w:rFonts w:hint="eastAsia" w:ascii="仿宋" w:hAnsi="仿宋" w:eastAsia="仿宋"/>
          <w:color w:val="auto"/>
          <w:sz w:val="32"/>
          <w:szCs w:val="32"/>
        </w:rPr>
        <w:t>20</w:t>
      </w:r>
      <w:r>
        <w:rPr>
          <w:rFonts w:ascii="仿宋" w:hAnsi="仿宋" w:eastAsia="仿宋"/>
          <w:color w:val="auto"/>
          <w:sz w:val="32"/>
          <w:szCs w:val="32"/>
        </w:rPr>
        <w:t>〕</w:t>
      </w:r>
      <w:r>
        <w:rPr>
          <w:rFonts w:hint="eastAsia" w:ascii="仿宋" w:hAnsi="仿宋" w:eastAsia="仿宋"/>
          <w:color w:val="auto"/>
          <w:sz w:val="32"/>
          <w:szCs w:val="32"/>
        </w:rPr>
        <w:t>10</w:t>
      </w:r>
      <w:r>
        <w:rPr>
          <w:rFonts w:ascii="仿宋" w:hAnsi="仿宋" w:eastAsia="仿宋"/>
          <w:color w:val="auto"/>
          <w:sz w:val="32"/>
          <w:szCs w:val="32"/>
        </w:rPr>
        <w:t>号</w:t>
      </w:r>
      <w:r>
        <w:rPr>
          <w:rFonts w:hint="eastAsia" w:ascii="仿宋" w:hAnsi="仿宋" w:eastAsia="仿宋"/>
          <w:color w:val="auto"/>
          <w:sz w:val="32"/>
          <w:szCs w:val="32"/>
        </w:rPr>
        <w:t>）</w:t>
      </w:r>
      <w:r>
        <w:rPr>
          <w:rFonts w:ascii="仿宋" w:hAnsi="仿宋" w:eastAsia="仿宋"/>
          <w:color w:val="auto"/>
          <w:sz w:val="32"/>
          <w:szCs w:val="32"/>
        </w:rPr>
        <w:t>等有关规定，我们研究制定了《枣庄</w:t>
      </w:r>
      <w:r>
        <w:rPr>
          <w:rFonts w:hint="eastAsia" w:ascii="仿宋" w:hAnsi="仿宋" w:eastAsia="仿宋"/>
          <w:color w:val="auto"/>
          <w:sz w:val="32"/>
          <w:szCs w:val="32"/>
        </w:rPr>
        <w:t>高新区区级</w:t>
      </w:r>
      <w:r>
        <w:rPr>
          <w:rFonts w:ascii="仿宋" w:hAnsi="仿宋" w:eastAsia="仿宋"/>
          <w:color w:val="auto"/>
          <w:sz w:val="32"/>
          <w:szCs w:val="32"/>
        </w:rPr>
        <w:t>部门和单位整体绩效管理暂行办</w:t>
      </w:r>
      <w:r>
        <w:rPr>
          <w:rFonts w:hint="eastAsia" w:ascii="仿宋" w:hAnsi="仿宋" w:eastAsia="仿宋"/>
          <w:color w:val="auto"/>
          <w:sz w:val="32"/>
          <w:szCs w:val="32"/>
        </w:rPr>
        <w:t>法》，</w:t>
      </w:r>
      <w:r>
        <w:rPr>
          <w:rFonts w:ascii="仿宋" w:hAnsi="仿宋" w:eastAsia="仿宋"/>
          <w:color w:val="auto"/>
          <w:sz w:val="32"/>
          <w:szCs w:val="32"/>
        </w:rPr>
        <w:t>现予印发，请遵照执行。</w:t>
      </w:r>
      <w:bookmarkStart w:id="0" w:name="bookmark8"/>
      <w:bookmarkStart w:id="1" w:name="bookmark7"/>
      <w:bookmarkStart w:id="2" w:name="bookmark6"/>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p>
    <w:p>
      <w:pPr>
        <w:spacing w:line="360" w:lineRule="auto"/>
        <w:ind w:right="320" w:firstLine="640" w:firstLineChars="200"/>
        <w:jc w:val="right"/>
        <w:rPr>
          <w:rFonts w:ascii="仿宋" w:hAnsi="仿宋" w:eastAsia="仿宋"/>
          <w:color w:val="auto"/>
          <w:sz w:val="32"/>
          <w:szCs w:val="32"/>
        </w:rPr>
      </w:pPr>
      <w:r>
        <w:rPr>
          <w:rFonts w:hint="eastAsia" w:ascii="仿宋" w:hAnsi="仿宋" w:eastAsia="仿宋"/>
          <w:color w:val="auto"/>
          <w:sz w:val="32"/>
          <w:szCs w:val="32"/>
        </w:rPr>
        <w:t>枣庄高新区财政金融局</w:t>
      </w:r>
    </w:p>
    <w:p>
      <w:pPr>
        <w:spacing w:line="360" w:lineRule="auto"/>
        <w:ind w:right="480" w:firstLine="640" w:firstLineChars="200"/>
        <w:jc w:val="right"/>
        <w:rPr>
          <w:rFonts w:ascii="仿宋" w:hAnsi="仿宋" w:eastAsia="仿宋"/>
          <w:color w:val="auto"/>
          <w:sz w:val="32"/>
          <w:szCs w:val="32"/>
        </w:rPr>
      </w:pPr>
      <w:r>
        <w:rPr>
          <w:rFonts w:hint="eastAsia" w:ascii="仿宋" w:hAnsi="仿宋" w:eastAsia="仿宋"/>
          <w:color w:val="auto"/>
          <w:sz w:val="32"/>
          <w:szCs w:val="32"/>
        </w:rPr>
        <w:t>2021年3月20日</w:t>
      </w:r>
    </w:p>
    <w:p>
      <w:pPr>
        <w:spacing w:line="360" w:lineRule="auto"/>
        <w:rPr>
          <w:rFonts w:ascii="仿宋" w:hAnsi="仿宋" w:eastAsia="仿宋"/>
          <w:color w:val="auto"/>
          <w:sz w:val="32"/>
          <w:szCs w:val="32"/>
        </w:rPr>
      </w:pPr>
    </w:p>
    <w:p>
      <w:pPr>
        <w:spacing w:line="360" w:lineRule="auto"/>
        <w:jc w:val="center"/>
        <w:rPr>
          <w:rFonts w:ascii="宋体" w:hAnsi="宋体" w:eastAsia="宋体"/>
          <w:b/>
          <w:color w:val="auto"/>
          <w:sz w:val="44"/>
          <w:szCs w:val="44"/>
        </w:rPr>
      </w:pPr>
    </w:p>
    <w:p>
      <w:pPr>
        <w:spacing w:line="360" w:lineRule="auto"/>
        <w:jc w:val="center"/>
        <w:rPr>
          <w:rFonts w:ascii="宋体" w:hAnsi="宋体" w:eastAsia="宋体"/>
          <w:b/>
          <w:color w:val="auto"/>
          <w:sz w:val="44"/>
          <w:szCs w:val="44"/>
        </w:rPr>
      </w:pPr>
      <w:r>
        <w:rPr>
          <w:rFonts w:ascii="宋体" w:hAnsi="宋体" w:eastAsia="宋体"/>
          <w:b/>
          <w:color w:val="auto"/>
          <w:sz w:val="44"/>
          <w:szCs w:val="44"/>
        </w:rPr>
        <w:t>枣庄</w:t>
      </w:r>
      <w:r>
        <w:rPr>
          <w:rFonts w:hint="eastAsia" w:ascii="宋体" w:hAnsi="宋体" w:eastAsia="宋体"/>
          <w:b/>
          <w:color w:val="auto"/>
          <w:sz w:val="44"/>
          <w:szCs w:val="44"/>
        </w:rPr>
        <w:t>高新区区</w:t>
      </w:r>
      <w:r>
        <w:rPr>
          <w:rFonts w:ascii="宋体" w:hAnsi="宋体" w:eastAsia="宋体"/>
          <w:b/>
          <w:color w:val="auto"/>
          <w:sz w:val="44"/>
          <w:szCs w:val="44"/>
        </w:rPr>
        <w:t>级部门和单位整体</w:t>
      </w:r>
      <w:r>
        <w:rPr>
          <w:rFonts w:ascii="宋体" w:hAnsi="宋体" w:eastAsia="宋体"/>
          <w:b/>
          <w:color w:val="auto"/>
          <w:sz w:val="44"/>
          <w:szCs w:val="44"/>
        </w:rPr>
        <w:br w:type="textWrapping"/>
      </w:r>
      <w:r>
        <w:rPr>
          <w:rFonts w:ascii="宋体" w:hAnsi="宋体" w:eastAsia="宋体"/>
          <w:b/>
          <w:color w:val="auto"/>
          <w:sz w:val="44"/>
          <w:szCs w:val="44"/>
        </w:rPr>
        <w:t>绩效管理暂行办法</w:t>
      </w:r>
      <w:bookmarkEnd w:id="0"/>
      <w:bookmarkEnd w:id="1"/>
      <w:bookmarkEnd w:id="2"/>
    </w:p>
    <w:p>
      <w:pPr>
        <w:spacing w:line="360" w:lineRule="auto"/>
        <w:jc w:val="center"/>
        <w:rPr>
          <w:rFonts w:ascii="仿宋" w:hAnsi="仿宋" w:eastAsia="仿宋"/>
          <w:b/>
          <w:color w:val="auto"/>
          <w:sz w:val="32"/>
          <w:szCs w:val="32"/>
        </w:rPr>
      </w:pPr>
    </w:p>
    <w:p>
      <w:pPr>
        <w:pStyle w:val="18"/>
        <w:numPr>
          <w:ilvl w:val="0"/>
          <w:numId w:val="1"/>
        </w:numPr>
        <w:spacing w:line="360" w:lineRule="auto"/>
        <w:ind w:left="0" w:firstLineChars="0"/>
        <w:jc w:val="center"/>
        <w:rPr>
          <w:rFonts w:ascii="仿宋" w:hAnsi="仿宋" w:eastAsia="仿宋"/>
          <w:b/>
          <w:color w:val="auto"/>
          <w:sz w:val="32"/>
          <w:szCs w:val="32"/>
        </w:rPr>
      </w:pPr>
      <w:r>
        <w:rPr>
          <w:rFonts w:hint="eastAsia" w:ascii="仿宋" w:hAnsi="仿宋" w:eastAsia="仿宋"/>
          <w:b/>
          <w:color w:val="auto"/>
          <w:sz w:val="32"/>
          <w:szCs w:val="32"/>
        </w:rPr>
        <w:t xml:space="preserve"> </w:t>
      </w:r>
      <w:r>
        <w:rPr>
          <w:rFonts w:ascii="仿宋" w:hAnsi="仿宋" w:eastAsia="仿宋"/>
          <w:b/>
          <w:color w:val="auto"/>
          <w:sz w:val="32"/>
          <w:szCs w:val="32"/>
        </w:rPr>
        <w:t>总</w:t>
      </w:r>
      <w:r>
        <w:rPr>
          <w:rFonts w:hint="eastAsia" w:ascii="仿宋" w:hAnsi="仿宋" w:eastAsia="仿宋"/>
          <w:b/>
          <w:color w:val="auto"/>
          <w:sz w:val="32"/>
          <w:szCs w:val="32"/>
        </w:rPr>
        <w:t xml:space="preserve"> </w:t>
      </w:r>
      <w:r>
        <w:rPr>
          <w:rFonts w:ascii="仿宋" w:hAnsi="仿宋" w:eastAsia="仿宋"/>
          <w:b/>
          <w:color w:val="auto"/>
          <w:sz w:val="32"/>
          <w:szCs w:val="32"/>
        </w:rPr>
        <w:t>则</w:t>
      </w:r>
    </w:p>
    <w:p>
      <w:pPr>
        <w:spacing w:line="360" w:lineRule="auto"/>
        <w:jc w:val="center"/>
        <w:rPr>
          <w:rFonts w:ascii="仿宋" w:hAnsi="仿宋" w:eastAsia="仿宋"/>
          <w:b/>
          <w:color w:val="auto"/>
          <w:szCs w:val="21"/>
        </w:rPr>
      </w:pPr>
    </w:p>
    <w:p>
      <w:pPr>
        <w:pStyle w:val="4"/>
        <w:spacing w:before="0" w:beforeAutospacing="0" w:after="0" w:afterAutospacing="0" w:line="360" w:lineRule="auto"/>
        <w:ind w:firstLine="640" w:firstLineChars="200"/>
        <w:rPr>
          <w:rFonts w:ascii="仿宋" w:hAnsi="仿宋" w:eastAsia="仿宋"/>
          <w:color w:val="auto"/>
          <w:sz w:val="32"/>
          <w:szCs w:val="32"/>
        </w:rPr>
      </w:pPr>
      <w:r>
        <w:rPr>
          <w:rFonts w:ascii="仿宋" w:hAnsi="仿宋" w:eastAsia="仿宋"/>
          <w:color w:val="auto"/>
          <w:sz w:val="32"/>
          <w:szCs w:val="32"/>
        </w:rPr>
        <w:t>第一条</w:t>
      </w:r>
      <w:r>
        <w:rPr>
          <w:rFonts w:ascii="仿宋" w:hAnsi="仿宋" w:eastAsia="仿宋"/>
          <w:b/>
          <w:color w:val="auto"/>
          <w:sz w:val="32"/>
          <w:szCs w:val="32"/>
        </w:rPr>
        <w:t xml:space="preserve"> </w:t>
      </w:r>
      <w:r>
        <w:rPr>
          <w:rFonts w:ascii="仿宋" w:hAnsi="仿宋" w:eastAsia="仿宋"/>
          <w:color w:val="auto"/>
          <w:sz w:val="32"/>
          <w:szCs w:val="32"/>
        </w:rPr>
        <w:t>为加快构建全方位、全过程、全覆盖的预算绩效管理体系，推动绩效管理实施对象从政策和项目向部门和单位整体绩效拓展，提高财政资源配置效率和使用效益，提升管理效率和行政效能，根据《中共中央国务院关于全面实施预算绩效管理的意见》（中发〔2018〕34号）、《中共山东省委山东省人民政府关于全面推进预算绩效管理的实施意见》（鲁发〔201</w:t>
      </w:r>
      <w:r>
        <w:rPr>
          <w:rFonts w:hint="eastAsia" w:ascii="仿宋" w:hAnsi="仿宋" w:eastAsia="仿宋"/>
          <w:color w:val="auto"/>
          <w:sz w:val="32"/>
          <w:szCs w:val="32"/>
        </w:rPr>
        <w:t>9</w:t>
      </w:r>
      <w:r>
        <w:rPr>
          <w:rFonts w:ascii="仿宋" w:hAnsi="仿宋" w:eastAsia="仿宋"/>
          <w:color w:val="auto"/>
          <w:sz w:val="32"/>
          <w:szCs w:val="32"/>
        </w:rPr>
        <w:t>〕2号）</w:t>
      </w:r>
      <w:r>
        <w:rPr>
          <w:rFonts w:hint="eastAsia" w:ascii="仿宋" w:hAnsi="仿宋" w:eastAsia="仿宋"/>
          <w:color w:val="auto"/>
          <w:sz w:val="32"/>
          <w:szCs w:val="32"/>
        </w:rPr>
        <w:t>、</w:t>
      </w:r>
      <w:r>
        <w:rPr>
          <w:rFonts w:ascii="仿宋" w:hAnsi="仿宋" w:eastAsia="仿宋"/>
          <w:color w:val="auto"/>
          <w:sz w:val="32"/>
          <w:szCs w:val="32"/>
        </w:rPr>
        <w:t>《中共枣庄市委枣庄市人民政府关于全面推进预算绩效管理的实施意见》（枣发〔2019〕21）</w:t>
      </w:r>
      <w:r>
        <w:rPr>
          <w:rFonts w:hint="eastAsia" w:ascii="仿宋" w:hAnsi="仿宋" w:eastAsia="仿宋"/>
          <w:color w:val="auto"/>
          <w:sz w:val="32"/>
          <w:szCs w:val="32"/>
        </w:rPr>
        <w:t>和</w:t>
      </w:r>
      <w:r>
        <w:rPr>
          <w:rFonts w:ascii="仿宋" w:hAnsi="仿宋" w:eastAsia="仿宋"/>
          <w:color w:val="auto"/>
          <w:sz w:val="32"/>
          <w:szCs w:val="32"/>
        </w:rPr>
        <w:t>《</w:t>
      </w:r>
      <w:r>
        <w:rPr>
          <w:rFonts w:hint="eastAsia" w:ascii="仿宋" w:hAnsi="仿宋" w:eastAsia="仿宋"/>
          <w:bCs/>
          <w:color w:val="auto"/>
          <w:sz w:val="32"/>
          <w:szCs w:val="32"/>
        </w:rPr>
        <w:t>枣庄高新区</w:t>
      </w:r>
      <w:r>
        <w:rPr>
          <w:rFonts w:ascii="仿宋" w:hAnsi="仿宋" w:eastAsia="仿宋"/>
          <w:color w:val="auto"/>
          <w:sz w:val="32"/>
          <w:szCs w:val="32"/>
        </w:rPr>
        <w:t>部门单位预算绩效管理办法》</w:t>
      </w:r>
      <w:r>
        <w:rPr>
          <w:rFonts w:hint="eastAsia" w:ascii="仿宋" w:hAnsi="仿宋" w:eastAsia="仿宋"/>
          <w:color w:val="auto"/>
          <w:sz w:val="32"/>
          <w:szCs w:val="32"/>
        </w:rPr>
        <w:t>（枣高管办发</w:t>
      </w:r>
      <w:r>
        <w:rPr>
          <w:rFonts w:ascii="仿宋" w:hAnsi="仿宋" w:eastAsia="仿宋"/>
          <w:color w:val="auto"/>
          <w:sz w:val="32"/>
          <w:szCs w:val="32"/>
        </w:rPr>
        <w:t>〔20</w:t>
      </w:r>
      <w:r>
        <w:rPr>
          <w:rFonts w:hint="eastAsia" w:ascii="仿宋" w:hAnsi="仿宋" w:eastAsia="仿宋"/>
          <w:color w:val="auto"/>
          <w:sz w:val="32"/>
          <w:szCs w:val="32"/>
        </w:rPr>
        <w:t>20</w:t>
      </w:r>
      <w:r>
        <w:rPr>
          <w:rFonts w:ascii="仿宋" w:hAnsi="仿宋" w:eastAsia="仿宋"/>
          <w:color w:val="auto"/>
          <w:sz w:val="32"/>
          <w:szCs w:val="32"/>
        </w:rPr>
        <w:t>〕</w:t>
      </w:r>
      <w:r>
        <w:rPr>
          <w:rFonts w:hint="eastAsia" w:ascii="仿宋" w:hAnsi="仿宋" w:eastAsia="仿宋"/>
          <w:color w:val="auto"/>
          <w:sz w:val="32"/>
          <w:szCs w:val="32"/>
        </w:rPr>
        <w:t>10</w:t>
      </w:r>
      <w:r>
        <w:rPr>
          <w:rFonts w:ascii="仿宋" w:hAnsi="仿宋" w:eastAsia="仿宋"/>
          <w:color w:val="auto"/>
          <w:sz w:val="32"/>
          <w:szCs w:val="32"/>
        </w:rPr>
        <w:t>号</w:t>
      </w:r>
      <w:r>
        <w:rPr>
          <w:rFonts w:hint="eastAsia" w:ascii="仿宋" w:hAnsi="仿宋" w:eastAsia="仿宋"/>
          <w:color w:val="auto"/>
          <w:sz w:val="32"/>
          <w:szCs w:val="32"/>
        </w:rPr>
        <w:t>）</w:t>
      </w:r>
      <w:r>
        <w:rPr>
          <w:rFonts w:ascii="仿宋" w:hAnsi="仿宋" w:eastAsia="仿宋"/>
          <w:color w:val="auto"/>
          <w:sz w:val="32"/>
          <w:szCs w:val="32"/>
        </w:rPr>
        <w:t>等有关规定，制定本办法。</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第二条</w:t>
      </w:r>
      <w:r>
        <w:rPr>
          <w:rFonts w:hint="eastAsia" w:ascii="仿宋" w:hAnsi="仿宋" w:eastAsia="仿宋"/>
          <w:color w:val="auto"/>
          <w:sz w:val="32"/>
          <w:szCs w:val="32"/>
        </w:rPr>
        <w:t xml:space="preserve"> 区</w:t>
      </w:r>
      <w:r>
        <w:rPr>
          <w:rFonts w:ascii="仿宋" w:hAnsi="仿宋" w:eastAsia="仿宋"/>
          <w:color w:val="auto"/>
          <w:sz w:val="32"/>
          <w:szCs w:val="32"/>
        </w:rPr>
        <w:t>级部门和单位整体绩效管理（以下简称“整体绩效管理”），是指</w:t>
      </w:r>
      <w:r>
        <w:rPr>
          <w:rFonts w:hint="eastAsia" w:ascii="仿宋" w:hAnsi="仿宋" w:eastAsia="仿宋"/>
          <w:color w:val="auto"/>
          <w:sz w:val="32"/>
          <w:szCs w:val="32"/>
        </w:rPr>
        <w:t>区</w:t>
      </w:r>
      <w:r>
        <w:rPr>
          <w:rFonts w:ascii="仿宋" w:hAnsi="仿宋" w:eastAsia="仿宋"/>
          <w:color w:val="auto"/>
          <w:sz w:val="32"/>
          <w:szCs w:val="32"/>
        </w:rPr>
        <w:t>级部门和单位按照预算收支全面纳入绩效管理 的要求，围绕部门和单位职责、行业发展规划，以预算资金为主线，统筹考虑资产和业务活动，从运行成本、管理效率、履职效能、社会效应、可持续发展能力和服务对象满意度等方面，衡量部门和单位整体及核心业务实施效果，提高部门和单位整体绩效水平的一系列绩效管理活动，具体包括整体绩效指标设置、绩效 目标管理、绩效自评、绩效评价、评价结果应用及公开等。</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 xml:space="preserve">第三条 </w:t>
      </w:r>
      <w:r>
        <w:rPr>
          <w:rFonts w:hint="eastAsia" w:ascii="仿宋" w:hAnsi="仿宋" w:eastAsia="仿宋"/>
          <w:color w:val="auto"/>
          <w:sz w:val="32"/>
          <w:szCs w:val="32"/>
        </w:rPr>
        <w:t>区财政金融局</w:t>
      </w:r>
      <w:r>
        <w:rPr>
          <w:rFonts w:ascii="仿宋" w:hAnsi="仿宋" w:eastAsia="仿宋"/>
          <w:color w:val="auto"/>
          <w:sz w:val="32"/>
          <w:szCs w:val="32"/>
        </w:rPr>
        <w:t>负责制定整体绩效管理制度</w:t>
      </w:r>
      <w:r>
        <w:rPr>
          <w:rFonts w:hint="eastAsia" w:ascii="仿宋" w:hAnsi="仿宋" w:eastAsia="仿宋"/>
          <w:color w:val="auto"/>
          <w:sz w:val="32"/>
          <w:szCs w:val="32"/>
        </w:rPr>
        <w:t>，</w:t>
      </w:r>
      <w:r>
        <w:rPr>
          <w:rFonts w:ascii="仿宋" w:hAnsi="仿宋" w:eastAsia="仿宋"/>
          <w:color w:val="auto"/>
          <w:sz w:val="32"/>
          <w:szCs w:val="32"/>
        </w:rPr>
        <w:t>组织指导</w:t>
      </w:r>
      <w:r>
        <w:rPr>
          <w:rFonts w:hint="eastAsia" w:ascii="仿宋" w:hAnsi="仿宋" w:eastAsia="仿宋"/>
          <w:color w:val="auto"/>
          <w:sz w:val="32"/>
          <w:szCs w:val="32"/>
        </w:rPr>
        <w:t>区</w:t>
      </w:r>
      <w:r>
        <w:rPr>
          <w:rFonts w:ascii="仿宋" w:hAnsi="仿宋" w:eastAsia="仿宋"/>
          <w:color w:val="auto"/>
          <w:sz w:val="32"/>
          <w:szCs w:val="32"/>
        </w:rPr>
        <w:t>级部门和单位开展整体绩效管理工作。根据管理工作需要，组织实施整体绩效评价。</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区</w:t>
      </w:r>
      <w:r>
        <w:rPr>
          <w:rFonts w:ascii="仿宋" w:hAnsi="仿宋" w:eastAsia="仿宋"/>
          <w:color w:val="auto"/>
          <w:sz w:val="32"/>
          <w:szCs w:val="32"/>
        </w:rPr>
        <w:t>级部门和单位负责健全内部工作协调机制，组织本部门单 位按照职责分工开展整体绩效管理工作。</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第四条</w:t>
      </w:r>
      <w:r>
        <w:rPr>
          <w:rFonts w:hint="eastAsia" w:ascii="仿宋" w:hAnsi="仿宋" w:eastAsia="仿宋"/>
          <w:color w:val="auto"/>
          <w:sz w:val="32"/>
          <w:szCs w:val="32"/>
        </w:rPr>
        <w:t xml:space="preserve"> </w:t>
      </w:r>
      <w:r>
        <w:rPr>
          <w:rFonts w:ascii="仿宋" w:hAnsi="仿宋" w:eastAsia="仿宋"/>
          <w:color w:val="auto"/>
          <w:sz w:val="32"/>
          <w:szCs w:val="32"/>
        </w:rPr>
        <w:t>整体绩效管理的主要依据：</w:t>
      </w:r>
    </w:p>
    <w:p>
      <w:pPr>
        <w:spacing w:line="360" w:lineRule="auto"/>
        <w:ind w:firstLine="640" w:firstLineChars="200"/>
        <w:rPr>
          <w:rFonts w:ascii="仿宋" w:hAnsi="仿宋" w:eastAsia="仿宋"/>
          <w:color w:val="auto"/>
          <w:sz w:val="32"/>
          <w:szCs w:val="32"/>
        </w:rPr>
      </w:pPr>
      <w:bookmarkStart w:id="3" w:name="bookmark9"/>
      <w:r>
        <w:rPr>
          <w:rFonts w:ascii="仿宋" w:hAnsi="仿宋" w:eastAsia="仿宋"/>
          <w:color w:val="auto"/>
          <w:sz w:val="32"/>
          <w:szCs w:val="32"/>
        </w:rPr>
        <w:t>（</w:t>
      </w:r>
      <w:bookmarkEnd w:id="3"/>
      <w:r>
        <w:rPr>
          <w:rFonts w:ascii="仿宋" w:hAnsi="仿宋" w:eastAsia="仿宋"/>
          <w:color w:val="auto"/>
          <w:sz w:val="32"/>
          <w:szCs w:val="32"/>
        </w:rPr>
        <w:t>一）国家相关法律、法规和规章制度。</w:t>
      </w:r>
    </w:p>
    <w:p>
      <w:pPr>
        <w:spacing w:line="360" w:lineRule="auto"/>
        <w:ind w:firstLine="640" w:firstLineChars="200"/>
        <w:rPr>
          <w:rFonts w:ascii="仿宋" w:hAnsi="仿宋" w:eastAsia="仿宋"/>
          <w:color w:val="auto"/>
          <w:sz w:val="32"/>
          <w:szCs w:val="32"/>
        </w:rPr>
      </w:pPr>
      <w:bookmarkStart w:id="4" w:name="bookmark10"/>
      <w:r>
        <w:rPr>
          <w:rFonts w:ascii="仿宋" w:hAnsi="仿宋" w:eastAsia="仿宋"/>
          <w:color w:val="auto"/>
          <w:sz w:val="32"/>
          <w:szCs w:val="32"/>
        </w:rPr>
        <w:t>（</w:t>
      </w:r>
      <w:bookmarkEnd w:id="4"/>
      <w:r>
        <w:rPr>
          <w:rFonts w:ascii="仿宋" w:hAnsi="仿宋" w:eastAsia="仿宋"/>
          <w:color w:val="auto"/>
          <w:sz w:val="32"/>
          <w:szCs w:val="32"/>
        </w:rPr>
        <w:t>二）党中央、国务院重大决策部署，经济社会发展目标， 省、</w:t>
      </w:r>
      <w:r>
        <w:rPr>
          <w:rFonts w:hint="eastAsia" w:ascii="仿宋" w:hAnsi="仿宋" w:eastAsia="仿宋"/>
          <w:color w:val="auto"/>
          <w:sz w:val="32"/>
          <w:szCs w:val="32"/>
        </w:rPr>
        <w:t>市、区</w:t>
      </w:r>
      <w:r>
        <w:rPr>
          <w:rFonts w:ascii="仿宋" w:hAnsi="仿宋" w:eastAsia="仿宋"/>
          <w:color w:val="auto"/>
          <w:sz w:val="32"/>
          <w:szCs w:val="32"/>
        </w:rPr>
        <w:t>重点任务要求。</w:t>
      </w:r>
    </w:p>
    <w:p>
      <w:pPr>
        <w:spacing w:line="360" w:lineRule="auto"/>
        <w:ind w:firstLine="640" w:firstLineChars="200"/>
        <w:rPr>
          <w:rFonts w:ascii="仿宋" w:hAnsi="仿宋" w:eastAsia="仿宋"/>
          <w:color w:val="auto"/>
          <w:sz w:val="32"/>
          <w:szCs w:val="32"/>
        </w:rPr>
      </w:pPr>
      <w:bookmarkStart w:id="5" w:name="bookmark11"/>
      <w:r>
        <w:rPr>
          <w:rFonts w:ascii="仿宋" w:hAnsi="仿宋" w:eastAsia="仿宋"/>
          <w:color w:val="auto"/>
          <w:sz w:val="32"/>
          <w:szCs w:val="32"/>
        </w:rPr>
        <w:t>（</w:t>
      </w:r>
      <w:bookmarkEnd w:id="5"/>
      <w:r>
        <w:rPr>
          <w:rFonts w:ascii="仿宋" w:hAnsi="仿宋" w:eastAsia="仿宋"/>
          <w:color w:val="auto"/>
          <w:sz w:val="32"/>
          <w:szCs w:val="32"/>
        </w:rPr>
        <w:t>三）部门职责相关规定。</w:t>
      </w:r>
    </w:p>
    <w:p>
      <w:pPr>
        <w:spacing w:line="360" w:lineRule="auto"/>
        <w:ind w:firstLine="640" w:firstLineChars="200"/>
        <w:rPr>
          <w:rFonts w:ascii="仿宋" w:hAnsi="仿宋" w:eastAsia="仿宋"/>
          <w:color w:val="auto"/>
          <w:sz w:val="32"/>
          <w:szCs w:val="32"/>
        </w:rPr>
      </w:pPr>
      <w:bookmarkStart w:id="6" w:name="bookmark12"/>
      <w:r>
        <w:rPr>
          <w:rFonts w:ascii="仿宋" w:hAnsi="仿宋" w:eastAsia="仿宋"/>
          <w:color w:val="auto"/>
          <w:sz w:val="32"/>
          <w:szCs w:val="32"/>
        </w:rPr>
        <w:t>（</w:t>
      </w:r>
      <w:bookmarkEnd w:id="6"/>
      <w:r>
        <w:rPr>
          <w:rFonts w:ascii="仿宋" w:hAnsi="仿宋" w:eastAsia="仿宋"/>
          <w:color w:val="auto"/>
          <w:sz w:val="32"/>
          <w:szCs w:val="32"/>
        </w:rPr>
        <w:t>四）部门发展规划、年度工作计划、重点任务及重大政策和项目安排情况。</w:t>
      </w:r>
    </w:p>
    <w:p>
      <w:pPr>
        <w:spacing w:line="360" w:lineRule="auto"/>
        <w:ind w:firstLine="640" w:firstLineChars="200"/>
        <w:rPr>
          <w:rFonts w:ascii="仿宋" w:hAnsi="仿宋" w:eastAsia="仿宋"/>
          <w:color w:val="auto"/>
          <w:sz w:val="32"/>
          <w:szCs w:val="32"/>
        </w:rPr>
      </w:pPr>
      <w:bookmarkStart w:id="7" w:name="bookmark13"/>
      <w:r>
        <w:rPr>
          <w:rFonts w:ascii="仿宋" w:hAnsi="仿宋" w:eastAsia="仿宋"/>
          <w:color w:val="auto"/>
          <w:sz w:val="32"/>
          <w:szCs w:val="32"/>
        </w:rPr>
        <w:t>（</w:t>
      </w:r>
      <w:bookmarkEnd w:id="7"/>
      <w:r>
        <w:rPr>
          <w:rFonts w:ascii="仿宋" w:hAnsi="仿宋" w:eastAsia="仿宋"/>
          <w:color w:val="auto"/>
          <w:sz w:val="32"/>
          <w:szCs w:val="32"/>
        </w:rPr>
        <w:t>五）相关行业政策、行业标准及专业技术规范。</w:t>
      </w:r>
    </w:p>
    <w:p>
      <w:pPr>
        <w:spacing w:line="360" w:lineRule="auto"/>
        <w:ind w:firstLine="640" w:firstLineChars="200"/>
        <w:rPr>
          <w:rFonts w:ascii="仿宋" w:hAnsi="仿宋" w:eastAsia="仿宋"/>
          <w:color w:val="auto"/>
          <w:sz w:val="32"/>
          <w:szCs w:val="32"/>
        </w:rPr>
      </w:pPr>
      <w:bookmarkStart w:id="8" w:name="bookmark14"/>
      <w:r>
        <w:rPr>
          <w:rFonts w:ascii="仿宋" w:hAnsi="仿宋" w:eastAsia="仿宋"/>
          <w:color w:val="auto"/>
          <w:sz w:val="32"/>
          <w:szCs w:val="32"/>
        </w:rPr>
        <w:t>（</w:t>
      </w:r>
      <w:bookmarkEnd w:id="8"/>
      <w:r>
        <w:rPr>
          <w:rFonts w:ascii="仿宋" w:hAnsi="仿宋" w:eastAsia="仿宋"/>
          <w:color w:val="auto"/>
          <w:sz w:val="32"/>
          <w:szCs w:val="32"/>
        </w:rPr>
        <w:t>六）预算管理制度及办法，项目及资金管理办法、财务和会计资料。</w:t>
      </w:r>
    </w:p>
    <w:p>
      <w:pPr>
        <w:spacing w:line="360" w:lineRule="auto"/>
        <w:ind w:firstLine="640" w:firstLineChars="200"/>
        <w:rPr>
          <w:rFonts w:ascii="仿宋" w:hAnsi="仿宋" w:eastAsia="仿宋"/>
          <w:color w:val="auto"/>
          <w:sz w:val="32"/>
          <w:szCs w:val="32"/>
        </w:rPr>
      </w:pPr>
      <w:bookmarkStart w:id="9" w:name="bookmark15"/>
      <w:r>
        <w:rPr>
          <w:rFonts w:ascii="仿宋" w:hAnsi="仿宋" w:eastAsia="仿宋"/>
          <w:color w:val="auto"/>
          <w:sz w:val="32"/>
          <w:szCs w:val="32"/>
        </w:rPr>
        <w:t>（</w:t>
      </w:r>
      <w:bookmarkEnd w:id="9"/>
      <w:r>
        <w:rPr>
          <w:rFonts w:ascii="仿宋" w:hAnsi="仿宋" w:eastAsia="仿宋"/>
          <w:color w:val="auto"/>
          <w:sz w:val="32"/>
          <w:szCs w:val="32"/>
        </w:rPr>
        <w:t>七）人大审查结果报告、审计报告及决定，财政监督稽核报告等。</w:t>
      </w:r>
    </w:p>
    <w:p>
      <w:pPr>
        <w:spacing w:line="360" w:lineRule="auto"/>
        <w:ind w:firstLine="640" w:firstLineChars="200"/>
        <w:rPr>
          <w:rFonts w:ascii="仿宋" w:hAnsi="仿宋" w:eastAsia="仿宋"/>
          <w:color w:val="auto"/>
          <w:sz w:val="32"/>
          <w:szCs w:val="32"/>
        </w:rPr>
      </w:pPr>
      <w:bookmarkStart w:id="10" w:name="bookmark16"/>
      <w:r>
        <w:rPr>
          <w:rFonts w:ascii="仿宋" w:hAnsi="仿宋" w:eastAsia="仿宋"/>
          <w:color w:val="auto"/>
          <w:sz w:val="32"/>
          <w:szCs w:val="32"/>
        </w:rPr>
        <w:t>（</w:t>
      </w:r>
      <w:bookmarkEnd w:id="10"/>
      <w:r>
        <w:rPr>
          <w:rFonts w:ascii="仿宋" w:hAnsi="仿宋" w:eastAsia="仿宋"/>
          <w:color w:val="auto"/>
          <w:sz w:val="32"/>
          <w:szCs w:val="32"/>
        </w:rPr>
        <w:t>八）财政部门和业务主管部门认可的其他依据。</w:t>
      </w:r>
    </w:p>
    <w:p>
      <w:pPr>
        <w:spacing w:line="360" w:lineRule="auto"/>
        <w:ind w:firstLine="640" w:firstLineChars="200"/>
        <w:rPr>
          <w:rFonts w:ascii="仿宋" w:hAnsi="仿宋" w:eastAsia="仿宋"/>
          <w:color w:val="auto"/>
          <w:sz w:val="32"/>
          <w:szCs w:val="32"/>
        </w:rPr>
      </w:pPr>
      <w:bookmarkStart w:id="11" w:name="bookmark17"/>
      <w:r>
        <w:rPr>
          <w:rFonts w:ascii="仿宋" w:hAnsi="仿宋" w:eastAsia="仿宋"/>
          <w:color w:val="auto"/>
          <w:sz w:val="32"/>
          <w:szCs w:val="32"/>
        </w:rPr>
        <w:t>（</w:t>
      </w:r>
      <w:bookmarkEnd w:id="11"/>
      <w:r>
        <w:rPr>
          <w:rFonts w:ascii="仿宋" w:hAnsi="仿宋" w:eastAsia="仿宋"/>
          <w:color w:val="auto"/>
          <w:sz w:val="32"/>
          <w:szCs w:val="32"/>
        </w:rPr>
        <w:t>九）其他相关资料。</w:t>
      </w:r>
    </w:p>
    <w:p>
      <w:pPr>
        <w:spacing w:line="360" w:lineRule="auto"/>
        <w:jc w:val="center"/>
        <w:rPr>
          <w:rFonts w:hint="eastAsia" w:ascii="仿宋" w:hAnsi="仿宋" w:eastAsia="仿宋"/>
          <w:color w:val="auto"/>
          <w:sz w:val="32"/>
          <w:szCs w:val="32"/>
        </w:rPr>
      </w:pPr>
    </w:p>
    <w:p>
      <w:pPr>
        <w:spacing w:line="360" w:lineRule="auto"/>
        <w:jc w:val="center"/>
        <w:rPr>
          <w:rFonts w:hint="eastAsia" w:ascii="仿宋" w:hAnsi="仿宋" w:eastAsia="仿宋"/>
          <w:color w:val="auto"/>
          <w:sz w:val="32"/>
          <w:szCs w:val="32"/>
        </w:rPr>
      </w:pPr>
    </w:p>
    <w:p>
      <w:pPr>
        <w:spacing w:line="360" w:lineRule="auto"/>
        <w:jc w:val="center"/>
        <w:rPr>
          <w:rFonts w:hint="eastAsia" w:ascii="仿宋" w:hAnsi="仿宋" w:eastAsia="仿宋"/>
          <w:color w:val="auto"/>
          <w:sz w:val="32"/>
          <w:szCs w:val="32"/>
        </w:rPr>
      </w:pPr>
    </w:p>
    <w:p>
      <w:pPr>
        <w:spacing w:line="360" w:lineRule="auto"/>
        <w:jc w:val="center"/>
        <w:rPr>
          <w:rFonts w:ascii="仿宋" w:hAnsi="仿宋" w:eastAsia="仿宋"/>
          <w:b/>
          <w:color w:val="auto"/>
          <w:sz w:val="32"/>
          <w:szCs w:val="32"/>
        </w:rPr>
      </w:pPr>
      <w:r>
        <w:rPr>
          <w:rFonts w:ascii="仿宋" w:hAnsi="仿宋" w:eastAsia="仿宋"/>
          <w:b/>
          <w:color w:val="auto"/>
          <w:sz w:val="32"/>
          <w:szCs w:val="32"/>
        </w:rPr>
        <w:t>第二章 整体绩效目标管理</w:t>
      </w:r>
    </w:p>
    <w:p>
      <w:pPr>
        <w:spacing w:line="360" w:lineRule="auto"/>
        <w:jc w:val="center"/>
        <w:rPr>
          <w:rFonts w:ascii="仿宋" w:hAnsi="仿宋" w:eastAsia="仿宋"/>
          <w:b/>
          <w:color w:val="auto"/>
          <w:szCs w:val="21"/>
        </w:rPr>
      </w:pP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第五条</w:t>
      </w:r>
      <w:r>
        <w:rPr>
          <w:rFonts w:hint="eastAsia" w:ascii="仿宋" w:hAnsi="仿宋" w:eastAsia="仿宋"/>
          <w:color w:val="auto"/>
          <w:sz w:val="32"/>
          <w:szCs w:val="32"/>
        </w:rPr>
        <w:t xml:space="preserve"> </w:t>
      </w:r>
      <w:r>
        <w:rPr>
          <w:rFonts w:ascii="仿宋" w:hAnsi="仿宋" w:eastAsia="仿宋"/>
          <w:color w:val="auto"/>
          <w:sz w:val="32"/>
          <w:szCs w:val="32"/>
        </w:rPr>
        <w:t>整体绩效目标，反映部门和单位使用全部预算资金 在一定期限内预期达到的总体产出和效果</w:t>
      </w:r>
      <w:r>
        <w:rPr>
          <w:rFonts w:hint="eastAsia" w:ascii="仿宋" w:hAnsi="仿宋" w:eastAsia="仿宋"/>
          <w:color w:val="auto"/>
          <w:sz w:val="32"/>
          <w:szCs w:val="32"/>
        </w:rPr>
        <w:t>，</w:t>
      </w:r>
      <w:r>
        <w:rPr>
          <w:rFonts w:ascii="仿宋" w:hAnsi="仿宋" w:eastAsia="仿宋"/>
          <w:color w:val="auto"/>
          <w:sz w:val="32"/>
          <w:szCs w:val="32"/>
        </w:rPr>
        <w:t>包括整体战略目标和年度整体绩效目标。</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第六条</w:t>
      </w:r>
      <w:r>
        <w:rPr>
          <w:rFonts w:hint="eastAsia" w:ascii="仿宋" w:hAnsi="仿宋" w:eastAsia="仿宋"/>
          <w:color w:val="auto"/>
          <w:sz w:val="32"/>
          <w:szCs w:val="32"/>
        </w:rPr>
        <w:t xml:space="preserve"> </w:t>
      </w:r>
      <w:r>
        <w:rPr>
          <w:rFonts w:ascii="仿宋" w:hAnsi="仿宋" w:eastAsia="仿宋"/>
          <w:color w:val="auto"/>
          <w:sz w:val="32"/>
          <w:szCs w:val="32"/>
        </w:rPr>
        <w:t>整体绩效目标管理包括整体绩效目标的编制与审核。</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第七条</w:t>
      </w:r>
      <w:r>
        <w:rPr>
          <w:rFonts w:hint="eastAsia" w:ascii="仿宋" w:hAnsi="仿宋" w:eastAsia="仿宋"/>
          <w:color w:val="auto"/>
          <w:sz w:val="32"/>
          <w:szCs w:val="32"/>
        </w:rPr>
        <w:t xml:space="preserve"> </w:t>
      </w:r>
      <w:r>
        <w:rPr>
          <w:rFonts w:ascii="仿宋" w:hAnsi="仿宋" w:eastAsia="仿宋"/>
          <w:color w:val="auto"/>
          <w:sz w:val="32"/>
          <w:szCs w:val="32"/>
        </w:rPr>
        <w:t>整体绩效目标编制范围及规范，由</w:t>
      </w:r>
      <w:r>
        <w:rPr>
          <w:rFonts w:hint="eastAsia" w:ascii="仿宋" w:hAnsi="仿宋" w:eastAsia="仿宋"/>
          <w:color w:val="auto"/>
          <w:sz w:val="32"/>
          <w:szCs w:val="32"/>
        </w:rPr>
        <w:t>区财政金融局</w:t>
      </w:r>
      <w:r>
        <w:rPr>
          <w:rFonts w:ascii="仿宋" w:hAnsi="仿宋" w:eastAsia="仿宋"/>
          <w:color w:val="auto"/>
          <w:sz w:val="32"/>
          <w:szCs w:val="32"/>
        </w:rPr>
        <w:t>予以明确。</w:t>
      </w:r>
      <w:r>
        <w:rPr>
          <w:rFonts w:hint="eastAsia" w:ascii="仿宋" w:hAnsi="仿宋" w:eastAsia="仿宋"/>
          <w:color w:val="auto"/>
          <w:sz w:val="32"/>
          <w:szCs w:val="32"/>
        </w:rPr>
        <w:t>区</w:t>
      </w:r>
      <w:r>
        <w:rPr>
          <w:rFonts w:ascii="仿宋" w:hAnsi="仿宋" w:eastAsia="仿宋"/>
          <w:color w:val="auto"/>
          <w:sz w:val="32"/>
          <w:szCs w:val="32"/>
        </w:rPr>
        <w:t>级部门和单位按要求设置绩效指标及指标值。</w:t>
      </w:r>
    </w:p>
    <w:p>
      <w:pPr>
        <w:spacing w:line="360" w:lineRule="auto"/>
        <w:ind w:firstLine="640" w:firstLineChars="200"/>
        <w:rPr>
          <w:rFonts w:ascii="仿宋" w:hAnsi="仿宋" w:eastAsia="仿宋"/>
          <w:color w:val="auto"/>
          <w:sz w:val="32"/>
          <w:szCs w:val="32"/>
        </w:rPr>
      </w:pPr>
      <w:bookmarkStart w:id="12" w:name="bookmark18"/>
      <w:r>
        <w:rPr>
          <w:rFonts w:ascii="仿宋" w:hAnsi="仿宋" w:eastAsia="仿宋"/>
          <w:color w:val="auto"/>
          <w:sz w:val="32"/>
          <w:szCs w:val="32"/>
        </w:rPr>
        <w:t>（</w:t>
      </w:r>
      <w:bookmarkEnd w:id="12"/>
      <w:r>
        <w:rPr>
          <w:rFonts w:ascii="仿宋" w:hAnsi="仿宋" w:eastAsia="仿宋"/>
          <w:color w:val="auto"/>
          <w:sz w:val="32"/>
          <w:szCs w:val="32"/>
        </w:rPr>
        <w:t>一）整体战略目标是部门和单位责任的具体化，是部门和单位在一定时期内，履行责任所要达到的水平和具体要求。部门和单位应通过对中长期发展规划的梳理、分解，选择应由本部门和单位承担的主要责任、体现区域特色的指标，设置战略绩效指标，并依据相关规划等确定指标值</w:t>
      </w:r>
      <w:r>
        <w:rPr>
          <w:rFonts w:ascii="仿宋" w:hAnsi="仿宋" w:eastAsia="仿宋"/>
          <w:color w:val="auto"/>
          <w:sz w:val="32"/>
          <w:szCs w:val="32"/>
        </w:rPr>
        <w:t>（具体格式见附件1）。</w:t>
      </w:r>
    </w:p>
    <w:p>
      <w:pPr>
        <w:spacing w:line="360" w:lineRule="auto"/>
        <w:ind w:firstLine="640" w:firstLineChars="200"/>
        <w:rPr>
          <w:rFonts w:ascii="仿宋" w:hAnsi="仿宋" w:eastAsia="仿宋"/>
          <w:color w:val="auto"/>
          <w:sz w:val="32"/>
          <w:szCs w:val="32"/>
        </w:rPr>
      </w:pPr>
      <w:bookmarkStart w:id="13" w:name="bookmark19"/>
      <w:r>
        <w:rPr>
          <w:rFonts w:ascii="仿宋" w:hAnsi="仿宋" w:eastAsia="仿宋"/>
          <w:color w:val="auto"/>
          <w:sz w:val="32"/>
          <w:szCs w:val="32"/>
        </w:rPr>
        <w:t>（</w:t>
      </w:r>
      <w:bookmarkEnd w:id="13"/>
      <w:r>
        <w:rPr>
          <w:rFonts w:ascii="仿宋" w:hAnsi="仿宋" w:eastAsia="仿宋"/>
          <w:color w:val="auto"/>
          <w:sz w:val="32"/>
          <w:szCs w:val="32"/>
        </w:rPr>
        <w:t>二）年度整体绩效目标，应根据对部门和单位职能的梳理, 概括、提炼出能够反映工作职责的关键性指标，收集相关基准数 据，结合年度预算安排等情况，确定相应指标值</w:t>
      </w:r>
      <w:r>
        <w:rPr>
          <w:rFonts w:ascii="仿宋" w:hAnsi="仿宋" w:eastAsia="仿宋"/>
          <w:color w:val="auto"/>
          <w:sz w:val="32"/>
          <w:szCs w:val="32"/>
        </w:rPr>
        <w:t>（具体格式见附件2）。</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第八条</w:t>
      </w:r>
      <w:r>
        <w:rPr>
          <w:rFonts w:hint="eastAsia" w:ascii="仿宋" w:hAnsi="仿宋" w:eastAsia="仿宋"/>
          <w:color w:val="auto"/>
          <w:sz w:val="32"/>
          <w:szCs w:val="32"/>
        </w:rPr>
        <w:t xml:space="preserve"> </w:t>
      </w:r>
      <w:r>
        <w:rPr>
          <w:rFonts w:ascii="仿宋" w:hAnsi="仿宋" w:eastAsia="仿宋"/>
          <w:color w:val="auto"/>
          <w:sz w:val="32"/>
          <w:szCs w:val="32"/>
        </w:rPr>
        <w:t>整体绩效目标编制要求：</w:t>
      </w:r>
    </w:p>
    <w:p>
      <w:pPr>
        <w:spacing w:line="360" w:lineRule="auto"/>
        <w:ind w:firstLine="640" w:firstLineChars="200"/>
        <w:rPr>
          <w:rFonts w:ascii="仿宋" w:hAnsi="仿宋" w:eastAsia="仿宋"/>
          <w:color w:val="auto"/>
          <w:sz w:val="32"/>
          <w:szCs w:val="32"/>
        </w:rPr>
      </w:pPr>
      <w:bookmarkStart w:id="14" w:name="bookmark20"/>
      <w:r>
        <w:rPr>
          <w:rFonts w:ascii="仿宋" w:hAnsi="仿宋" w:eastAsia="仿宋"/>
          <w:color w:val="auto"/>
          <w:sz w:val="32"/>
          <w:szCs w:val="32"/>
        </w:rPr>
        <w:t>（</w:t>
      </w:r>
      <w:bookmarkEnd w:id="14"/>
      <w:r>
        <w:rPr>
          <w:rFonts w:ascii="仿宋" w:hAnsi="仿宋" w:eastAsia="仿宋"/>
          <w:color w:val="auto"/>
          <w:sz w:val="32"/>
          <w:szCs w:val="32"/>
        </w:rPr>
        <w:t>一）指向明确。绩效目标应符合法律法规规定、国家重大战略目标、国民经济和社会发展规划、部门（单位）职能及事业发展规划等要求，并与资金的政策目标、用途、使用范围、预算支出内容等紧密相关。</w:t>
      </w:r>
    </w:p>
    <w:p>
      <w:pPr>
        <w:spacing w:line="360" w:lineRule="auto"/>
        <w:ind w:firstLine="640" w:firstLineChars="200"/>
        <w:rPr>
          <w:rFonts w:ascii="仿宋" w:hAnsi="仿宋" w:eastAsia="仿宋"/>
          <w:color w:val="auto"/>
          <w:sz w:val="32"/>
          <w:szCs w:val="32"/>
        </w:rPr>
      </w:pPr>
      <w:bookmarkStart w:id="15" w:name="bookmark21"/>
      <w:r>
        <w:rPr>
          <w:rFonts w:ascii="仿宋" w:hAnsi="仿宋" w:eastAsia="仿宋"/>
          <w:color w:val="auto"/>
          <w:sz w:val="32"/>
          <w:szCs w:val="32"/>
        </w:rPr>
        <w:t>（</w:t>
      </w:r>
      <w:bookmarkEnd w:id="15"/>
      <w:r>
        <w:rPr>
          <w:rFonts w:ascii="仿宋" w:hAnsi="仿宋" w:eastAsia="仿宋"/>
          <w:color w:val="auto"/>
          <w:sz w:val="32"/>
          <w:szCs w:val="32"/>
        </w:rPr>
        <w:t>二）重点突出。绩效目标应清晰反映完成部门和单位责任 所要达到的水平和具体要求，体现核心产出和效果，精简准确、 突出重点。</w:t>
      </w:r>
    </w:p>
    <w:p>
      <w:pPr>
        <w:spacing w:line="360" w:lineRule="auto"/>
        <w:ind w:firstLine="640" w:firstLineChars="200"/>
        <w:rPr>
          <w:rFonts w:ascii="仿宋" w:hAnsi="仿宋" w:eastAsia="仿宋"/>
          <w:color w:val="auto"/>
          <w:sz w:val="32"/>
          <w:szCs w:val="32"/>
        </w:rPr>
      </w:pPr>
      <w:bookmarkStart w:id="16" w:name="bookmark22"/>
      <w:r>
        <w:rPr>
          <w:rFonts w:ascii="仿宋" w:hAnsi="仿宋" w:eastAsia="仿宋"/>
          <w:color w:val="auto"/>
          <w:sz w:val="32"/>
          <w:szCs w:val="32"/>
        </w:rPr>
        <w:t>（</w:t>
      </w:r>
      <w:bookmarkEnd w:id="16"/>
      <w:r>
        <w:rPr>
          <w:rFonts w:ascii="仿宋" w:hAnsi="仿宋" w:eastAsia="仿宋"/>
          <w:color w:val="auto"/>
          <w:sz w:val="32"/>
          <w:szCs w:val="32"/>
        </w:rPr>
        <w:t>三）实化量化。绩效指标应结合工作实际需要确定，定量细化，量化数据易于获取。不能以量化形式表述的指标，可采用定性表述，但应具有可衡量性。</w:t>
      </w:r>
    </w:p>
    <w:p>
      <w:pPr>
        <w:spacing w:line="360" w:lineRule="auto"/>
        <w:ind w:firstLine="640" w:firstLineChars="200"/>
        <w:rPr>
          <w:rFonts w:ascii="仿宋" w:hAnsi="仿宋" w:eastAsia="仿宋"/>
          <w:color w:val="auto"/>
          <w:sz w:val="32"/>
          <w:szCs w:val="32"/>
        </w:rPr>
      </w:pPr>
      <w:bookmarkStart w:id="17" w:name="bookmark23"/>
      <w:r>
        <w:rPr>
          <w:rFonts w:ascii="仿宋" w:hAnsi="仿宋" w:eastAsia="仿宋"/>
          <w:color w:val="auto"/>
          <w:sz w:val="32"/>
          <w:szCs w:val="32"/>
        </w:rPr>
        <w:t>（</w:t>
      </w:r>
      <w:bookmarkEnd w:id="17"/>
      <w:r>
        <w:rPr>
          <w:rFonts w:ascii="仿宋" w:hAnsi="仿宋" w:eastAsia="仿宋"/>
          <w:color w:val="auto"/>
          <w:sz w:val="32"/>
          <w:szCs w:val="32"/>
        </w:rPr>
        <w:t>四）合理可行。综合考虑成本和效益，绩效目标要与计划期内的任务数或计划数相适应，与预算确定的投资额或资金量相匹配，对完成任务目标具有约束力，避免设立过高或过低。</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第九条</w:t>
      </w:r>
      <w:r>
        <w:rPr>
          <w:rFonts w:hint="eastAsia" w:ascii="仿宋" w:hAnsi="仿宋" w:eastAsia="仿宋"/>
          <w:color w:val="auto"/>
          <w:sz w:val="32"/>
          <w:szCs w:val="32"/>
        </w:rPr>
        <w:t xml:space="preserve"> </w:t>
      </w:r>
      <w:r>
        <w:rPr>
          <w:rFonts w:ascii="仿宋" w:hAnsi="仿宋" w:eastAsia="仿宋"/>
          <w:color w:val="auto"/>
          <w:sz w:val="32"/>
          <w:szCs w:val="32"/>
        </w:rPr>
        <w:t>绩效标准</w:t>
      </w:r>
      <w:r>
        <w:rPr>
          <w:rFonts w:hint="eastAsia" w:ascii="仿宋" w:hAnsi="仿宋" w:eastAsia="仿宋"/>
          <w:color w:val="auto"/>
          <w:sz w:val="32"/>
          <w:szCs w:val="32"/>
        </w:rPr>
        <w:t>。指</w:t>
      </w:r>
      <w:r>
        <w:rPr>
          <w:rFonts w:ascii="仿宋" w:hAnsi="仿宋" w:eastAsia="仿宋"/>
          <w:color w:val="auto"/>
          <w:sz w:val="32"/>
          <w:szCs w:val="32"/>
        </w:rPr>
        <w:t>设定、审核绩效指标时所依据或参考的标准，通常包括计划标准、行业标准、历史标准等，也可用于对绩效指标完成情况进行比较。</w:t>
      </w:r>
    </w:p>
    <w:p>
      <w:pPr>
        <w:spacing w:line="360" w:lineRule="auto"/>
        <w:ind w:firstLine="640" w:firstLineChars="200"/>
        <w:rPr>
          <w:rFonts w:ascii="仿宋" w:hAnsi="仿宋" w:eastAsia="仿宋"/>
          <w:color w:val="auto"/>
          <w:sz w:val="32"/>
          <w:szCs w:val="32"/>
        </w:rPr>
      </w:pPr>
      <w:bookmarkStart w:id="18" w:name="bookmark24"/>
      <w:r>
        <w:rPr>
          <w:rFonts w:ascii="仿宋" w:hAnsi="仿宋" w:eastAsia="仿宋"/>
          <w:color w:val="auto"/>
          <w:sz w:val="32"/>
          <w:szCs w:val="32"/>
        </w:rPr>
        <w:t>（</w:t>
      </w:r>
      <w:bookmarkEnd w:id="18"/>
      <w:r>
        <w:rPr>
          <w:rFonts w:ascii="仿宋" w:hAnsi="仿宋" w:eastAsia="仿宋"/>
          <w:color w:val="auto"/>
          <w:sz w:val="32"/>
          <w:szCs w:val="32"/>
        </w:rPr>
        <w:t>一）计划标准</w:t>
      </w:r>
      <w:r>
        <w:rPr>
          <w:rFonts w:hint="eastAsia" w:ascii="仿宋" w:hAnsi="仿宋" w:eastAsia="仿宋"/>
          <w:color w:val="auto"/>
          <w:sz w:val="32"/>
          <w:szCs w:val="32"/>
        </w:rPr>
        <w:t>。</w:t>
      </w:r>
      <w:r>
        <w:rPr>
          <w:rFonts w:ascii="仿宋" w:hAnsi="仿宋" w:eastAsia="仿宋"/>
          <w:color w:val="auto"/>
          <w:sz w:val="32"/>
          <w:szCs w:val="32"/>
        </w:rPr>
        <w:t>指以预先制定的目标、计划、预算、定额等作为评价标准。</w:t>
      </w:r>
    </w:p>
    <w:p>
      <w:pPr>
        <w:spacing w:line="360" w:lineRule="auto"/>
        <w:ind w:firstLine="640" w:firstLineChars="200"/>
        <w:rPr>
          <w:rFonts w:ascii="仿宋" w:hAnsi="仿宋" w:eastAsia="仿宋"/>
          <w:color w:val="auto"/>
          <w:sz w:val="32"/>
          <w:szCs w:val="32"/>
        </w:rPr>
      </w:pPr>
      <w:bookmarkStart w:id="19" w:name="bookmark25"/>
      <w:r>
        <w:rPr>
          <w:rFonts w:ascii="仿宋" w:hAnsi="仿宋" w:eastAsia="仿宋"/>
          <w:color w:val="auto"/>
          <w:sz w:val="32"/>
          <w:szCs w:val="32"/>
        </w:rPr>
        <w:t>（</w:t>
      </w:r>
      <w:bookmarkEnd w:id="19"/>
      <w:r>
        <w:rPr>
          <w:rFonts w:ascii="仿宋" w:hAnsi="仿宋" w:eastAsia="仿宋"/>
          <w:color w:val="auto"/>
          <w:sz w:val="32"/>
          <w:szCs w:val="32"/>
        </w:rPr>
        <w:t>二）行业标准</w:t>
      </w:r>
      <w:r>
        <w:rPr>
          <w:rFonts w:hint="eastAsia" w:ascii="仿宋" w:hAnsi="仿宋" w:eastAsia="仿宋"/>
          <w:color w:val="auto"/>
          <w:sz w:val="32"/>
          <w:szCs w:val="32"/>
        </w:rPr>
        <w:t>。</w:t>
      </w:r>
      <w:r>
        <w:rPr>
          <w:rFonts w:ascii="仿宋" w:hAnsi="仿宋" w:eastAsia="仿宋"/>
          <w:color w:val="auto"/>
          <w:sz w:val="32"/>
          <w:szCs w:val="32"/>
        </w:rPr>
        <w:t>指参照国家公布的行业指标数据制定的评价标准。</w:t>
      </w:r>
    </w:p>
    <w:p>
      <w:pPr>
        <w:spacing w:line="360" w:lineRule="auto"/>
        <w:ind w:firstLine="640" w:firstLineChars="200"/>
        <w:rPr>
          <w:rFonts w:ascii="仿宋" w:hAnsi="仿宋" w:eastAsia="仿宋"/>
          <w:color w:val="auto"/>
          <w:sz w:val="32"/>
          <w:szCs w:val="32"/>
        </w:rPr>
      </w:pPr>
      <w:bookmarkStart w:id="20" w:name="bookmark26"/>
      <w:r>
        <w:rPr>
          <w:rFonts w:ascii="仿宋" w:hAnsi="仿宋" w:eastAsia="仿宋"/>
          <w:color w:val="auto"/>
          <w:sz w:val="32"/>
          <w:szCs w:val="32"/>
        </w:rPr>
        <w:t>（</w:t>
      </w:r>
      <w:bookmarkEnd w:id="20"/>
      <w:r>
        <w:rPr>
          <w:rFonts w:ascii="仿宋" w:hAnsi="仿宋" w:eastAsia="仿宋"/>
          <w:color w:val="auto"/>
          <w:sz w:val="32"/>
          <w:szCs w:val="32"/>
        </w:rPr>
        <w:t>三）历史标准</w:t>
      </w:r>
      <w:r>
        <w:rPr>
          <w:rFonts w:hint="eastAsia" w:ascii="仿宋" w:hAnsi="仿宋" w:eastAsia="仿宋"/>
          <w:color w:val="auto"/>
          <w:sz w:val="32"/>
          <w:szCs w:val="32"/>
        </w:rPr>
        <w:t>。</w:t>
      </w:r>
      <w:r>
        <w:rPr>
          <w:rFonts w:ascii="仿宋" w:hAnsi="仿宋" w:eastAsia="仿宋"/>
          <w:color w:val="auto"/>
          <w:sz w:val="32"/>
          <w:szCs w:val="32"/>
        </w:rPr>
        <w:t>指参照历史数据制定的评价标准。为体现绩效改进原则，在可实现的条件下应当确定相对较高的评价标准。</w:t>
      </w:r>
    </w:p>
    <w:p>
      <w:pPr>
        <w:spacing w:line="360" w:lineRule="auto"/>
        <w:ind w:firstLine="640" w:firstLineChars="200"/>
        <w:rPr>
          <w:rFonts w:ascii="仿宋" w:hAnsi="仿宋" w:eastAsia="仿宋"/>
          <w:color w:val="auto"/>
          <w:sz w:val="32"/>
          <w:szCs w:val="32"/>
        </w:rPr>
      </w:pPr>
      <w:bookmarkStart w:id="21" w:name="bookmark27"/>
      <w:r>
        <w:rPr>
          <w:rFonts w:ascii="仿宋" w:hAnsi="仿宋" w:eastAsia="仿宋"/>
          <w:color w:val="auto"/>
          <w:sz w:val="32"/>
          <w:szCs w:val="32"/>
        </w:rPr>
        <w:t>（</w:t>
      </w:r>
      <w:bookmarkEnd w:id="21"/>
      <w:r>
        <w:rPr>
          <w:rFonts w:ascii="仿宋" w:hAnsi="仿宋" w:eastAsia="仿宋"/>
          <w:color w:val="auto"/>
          <w:sz w:val="32"/>
          <w:szCs w:val="32"/>
        </w:rPr>
        <w:t>四）</w:t>
      </w:r>
      <w:r>
        <w:rPr>
          <w:rFonts w:hint="eastAsia" w:ascii="仿宋" w:hAnsi="仿宋" w:eastAsia="仿宋"/>
          <w:color w:val="auto"/>
          <w:sz w:val="32"/>
          <w:szCs w:val="32"/>
        </w:rPr>
        <w:t>区财政金融局</w:t>
      </w:r>
      <w:r>
        <w:rPr>
          <w:rFonts w:ascii="仿宋" w:hAnsi="仿宋" w:eastAsia="仿宋"/>
          <w:color w:val="auto"/>
          <w:sz w:val="32"/>
          <w:szCs w:val="32"/>
        </w:rPr>
        <w:t>和部门单位确认或认可的其他标准。</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 xml:space="preserve">第十条 </w:t>
      </w:r>
      <w:r>
        <w:rPr>
          <w:rFonts w:hint="eastAsia" w:ascii="仿宋" w:hAnsi="仿宋" w:eastAsia="仿宋"/>
          <w:color w:val="auto"/>
          <w:sz w:val="32"/>
          <w:szCs w:val="32"/>
        </w:rPr>
        <w:t>区财政金融局</w:t>
      </w:r>
      <w:r>
        <w:rPr>
          <w:rFonts w:ascii="仿宋" w:hAnsi="仿宋" w:eastAsia="仿宋"/>
          <w:color w:val="auto"/>
          <w:sz w:val="32"/>
          <w:szCs w:val="32"/>
        </w:rPr>
        <w:t>从绩效目标填报要素是否齐全完整，是 否细化量化，明确清晰等方面，对整体绩效目标完整性进行审核。</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 xml:space="preserve">第十一条 </w:t>
      </w:r>
      <w:r>
        <w:rPr>
          <w:rFonts w:hint="eastAsia" w:ascii="仿宋" w:hAnsi="仿宋" w:eastAsia="仿宋"/>
          <w:color w:val="auto"/>
          <w:sz w:val="32"/>
          <w:szCs w:val="32"/>
        </w:rPr>
        <w:t>区</w:t>
      </w:r>
      <w:r>
        <w:rPr>
          <w:rFonts w:ascii="仿宋" w:hAnsi="仿宋" w:eastAsia="仿宋"/>
          <w:color w:val="auto"/>
          <w:sz w:val="32"/>
          <w:szCs w:val="32"/>
        </w:rPr>
        <w:t>级部门和单位应当采取重点工作调度、项目跟踪、数据抽查、实地查验、系统监测等方式，动态关注整体绩效目标完成及预算执行等情况，及时发现问题并采取有效措施纠偏。</w:t>
      </w:r>
    </w:p>
    <w:p>
      <w:pPr>
        <w:spacing w:line="360" w:lineRule="auto"/>
        <w:jc w:val="center"/>
        <w:rPr>
          <w:rFonts w:ascii="仿宋" w:hAnsi="仿宋" w:eastAsia="仿宋"/>
          <w:b/>
          <w:color w:val="auto"/>
          <w:szCs w:val="21"/>
        </w:rPr>
      </w:pPr>
    </w:p>
    <w:p>
      <w:pPr>
        <w:spacing w:line="360" w:lineRule="auto"/>
        <w:jc w:val="center"/>
        <w:rPr>
          <w:rFonts w:ascii="仿宋" w:hAnsi="仿宋" w:eastAsia="仿宋"/>
          <w:b/>
          <w:color w:val="auto"/>
          <w:sz w:val="32"/>
          <w:szCs w:val="32"/>
        </w:rPr>
      </w:pPr>
      <w:r>
        <w:rPr>
          <w:rFonts w:ascii="仿宋" w:hAnsi="仿宋" w:eastAsia="仿宋"/>
          <w:b/>
          <w:color w:val="auto"/>
          <w:sz w:val="32"/>
          <w:szCs w:val="32"/>
        </w:rPr>
        <w:t>第三章</w:t>
      </w:r>
      <w:r>
        <w:rPr>
          <w:rFonts w:hint="eastAsia" w:ascii="仿宋" w:hAnsi="仿宋" w:eastAsia="仿宋"/>
          <w:b/>
          <w:color w:val="auto"/>
          <w:sz w:val="32"/>
          <w:szCs w:val="32"/>
        </w:rPr>
        <w:t xml:space="preserve"> </w:t>
      </w:r>
      <w:r>
        <w:rPr>
          <w:rFonts w:ascii="仿宋" w:hAnsi="仿宋" w:eastAsia="仿宋"/>
          <w:b/>
          <w:color w:val="auto"/>
          <w:sz w:val="32"/>
          <w:szCs w:val="32"/>
        </w:rPr>
        <w:t>整体绩效自评</w:t>
      </w:r>
    </w:p>
    <w:p>
      <w:pPr>
        <w:spacing w:line="360" w:lineRule="auto"/>
        <w:rPr>
          <w:rFonts w:ascii="仿宋" w:hAnsi="仿宋" w:eastAsia="仿宋"/>
          <w:color w:val="auto"/>
          <w:szCs w:val="21"/>
        </w:rPr>
      </w:pP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第十二条</w:t>
      </w:r>
      <w:r>
        <w:rPr>
          <w:rFonts w:hint="eastAsia" w:ascii="仿宋" w:hAnsi="仿宋" w:eastAsia="仿宋"/>
          <w:color w:val="auto"/>
          <w:sz w:val="32"/>
          <w:szCs w:val="32"/>
        </w:rPr>
        <w:t xml:space="preserve"> 年度预算执行完毕，区级部门和单位要对年度整体绩效目标完成情况进行自我评价，自评内容主要包括年度整体绩效目标完成情况及预算执行情况。</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第十三条 合理设置指标权重，整体绩效自评，采用百分制，原则上预算执行率和一级指标权重设置为预算执行率</w:t>
      </w:r>
      <w:r>
        <w:rPr>
          <w:rFonts w:ascii="仿宋" w:hAnsi="仿宋" w:eastAsia="仿宋"/>
          <w:color w:val="auto"/>
          <w:sz w:val="32"/>
          <w:szCs w:val="32"/>
        </w:rPr>
        <w:t>10%</w:t>
      </w:r>
      <w:r>
        <w:rPr>
          <w:rFonts w:hint="eastAsia" w:ascii="仿宋" w:hAnsi="仿宋" w:eastAsia="仿宋"/>
          <w:color w:val="auto"/>
          <w:sz w:val="32"/>
          <w:szCs w:val="32"/>
        </w:rPr>
        <w:t>、</w:t>
      </w:r>
      <w:r>
        <w:rPr>
          <w:rFonts w:ascii="仿宋" w:hAnsi="仿宋" w:eastAsia="仿宋"/>
          <w:color w:val="auto"/>
          <w:sz w:val="32"/>
          <w:szCs w:val="32"/>
        </w:rPr>
        <w:t>绩效指标90%。</w:t>
      </w:r>
      <w:r>
        <w:rPr>
          <w:rFonts w:hint="eastAsia" w:ascii="仿宋" w:hAnsi="仿宋" w:eastAsia="仿宋"/>
          <w:color w:val="auto"/>
          <w:sz w:val="32"/>
          <w:szCs w:val="32"/>
        </w:rPr>
        <w:t>区</w:t>
      </w:r>
      <w:r>
        <w:rPr>
          <w:rFonts w:ascii="仿宋" w:hAnsi="仿宋" w:eastAsia="仿宋"/>
          <w:color w:val="auto"/>
          <w:sz w:val="32"/>
          <w:szCs w:val="32"/>
        </w:rPr>
        <w:t>级部门和单位可根据实际情况和绩效指标重要程度，设置指标权重分值。</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第十四条 得分评定方法。整体绩效自评采用定量和定性评价相结合的比较法，对照年度整体绩效目标及部门预算，对目标完成及预算执行情况进行分析评判，计算各项指标得分，汇总形成绩效自评结果，并填报《整体绩效自评表》</w:t>
      </w:r>
      <w:r>
        <w:rPr>
          <w:rFonts w:ascii="仿宋" w:hAnsi="仿宋" w:eastAsia="仿宋"/>
          <w:color w:val="auto"/>
          <w:sz w:val="32"/>
          <w:szCs w:val="32"/>
        </w:rPr>
        <w:t>（附件</w:t>
      </w:r>
      <w:r>
        <w:rPr>
          <w:rFonts w:hint="eastAsia" w:ascii="仿宋" w:hAnsi="仿宋" w:eastAsia="仿宋"/>
          <w:color w:val="auto"/>
          <w:sz w:val="32"/>
          <w:szCs w:val="32"/>
          <w:lang w:val="en-US" w:eastAsia="zh-CN"/>
        </w:rPr>
        <w:t>3</w:t>
      </w:r>
      <w:r>
        <w:rPr>
          <w:rFonts w:ascii="仿宋" w:hAnsi="仿宋" w:eastAsia="仿宋"/>
          <w:color w:val="auto"/>
          <w:sz w:val="32"/>
          <w:szCs w:val="32"/>
        </w:rPr>
        <w:t>）。</w:t>
      </w:r>
      <w:r>
        <w:rPr>
          <w:rFonts w:ascii="仿宋" w:hAnsi="仿宋" w:eastAsia="仿宋"/>
          <w:color w:val="auto"/>
          <w:sz w:val="32"/>
          <w:szCs w:val="32"/>
        </w:rPr>
        <w:t>整体绩效自评总分在90分（含）以上的为“优”，80分（含）-90 分的为“良”，60分（含）-80分的为“中”，低于60分的为 “差”</w:t>
      </w:r>
      <w:r>
        <w:rPr>
          <w:rFonts w:hint="eastAsia" w:ascii="仿宋" w:hAnsi="仿宋" w:eastAsia="仿宋"/>
          <w:color w:val="auto"/>
          <w:sz w:val="32"/>
          <w:szCs w:val="32"/>
        </w:rPr>
        <w:t>。</w:t>
      </w:r>
    </w:p>
    <w:p>
      <w:pPr>
        <w:spacing w:line="360" w:lineRule="auto"/>
        <w:ind w:firstLine="420" w:firstLineChars="200"/>
        <w:rPr>
          <w:rFonts w:ascii="仿宋" w:hAnsi="仿宋" w:eastAsia="仿宋"/>
          <w:color w:val="auto"/>
          <w:szCs w:val="21"/>
        </w:rPr>
      </w:pPr>
    </w:p>
    <w:p>
      <w:pPr>
        <w:spacing w:line="360" w:lineRule="auto"/>
        <w:jc w:val="center"/>
        <w:rPr>
          <w:rFonts w:ascii="仿宋" w:hAnsi="仿宋" w:eastAsia="仿宋"/>
          <w:b/>
          <w:color w:val="auto"/>
          <w:sz w:val="32"/>
          <w:szCs w:val="32"/>
        </w:rPr>
      </w:pPr>
      <w:r>
        <w:rPr>
          <w:rFonts w:ascii="仿宋" w:hAnsi="仿宋" w:eastAsia="仿宋"/>
          <w:b/>
          <w:color w:val="auto"/>
          <w:sz w:val="32"/>
          <w:szCs w:val="32"/>
        </w:rPr>
        <w:t>第四章</w:t>
      </w:r>
      <w:r>
        <w:rPr>
          <w:rFonts w:hint="eastAsia" w:ascii="仿宋" w:hAnsi="仿宋" w:eastAsia="仿宋"/>
          <w:b/>
          <w:color w:val="auto"/>
          <w:sz w:val="32"/>
          <w:szCs w:val="32"/>
        </w:rPr>
        <w:t xml:space="preserve">  </w:t>
      </w:r>
      <w:r>
        <w:rPr>
          <w:rFonts w:ascii="仿宋" w:hAnsi="仿宋" w:eastAsia="仿宋"/>
          <w:b/>
          <w:color w:val="auto"/>
          <w:sz w:val="32"/>
          <w:szCs w:val="32"/>
        </w:rPr>
        <w:t>整体绩效评价</w:t>
      </w:r>
    </w:p>
    <w:p>
      <w:pPr>
        <w:spacing w:line="360" w:lineRule="auto"/>
        <w:jc w:val="center"/>
        <w:rPr>
          <w:rFonts w:ascii="仿宋" w:hAnsi="仿宋" w:eastAsia="仿宋"/>
          <w:b/>
          <w:color w:val="auto"/>
          <w:szCs w:val="21"/>
        </w:rPr>
      </w:pP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 xml:space="preserve">第十五条 </w:t>
      </w:r>
      <w:r>
        <w:rPr>
          <w:rFonts w:hint="eastAsia" w:ascii="仿宋" w:hAnsi="仿宋" w:eastAsia="仿宋"/>
          <w:color w:val="auto"/>
          <w:sz w:val="32"/>
          <w:szCs w:val="32"/>
        </w:rPr>
        <w:t>区财政金融局</w:t>
      </w:r>
      <w:r>
        <w:rPr>
          <w:rFonts w:ascii="仿宋" w:hAnsi="仿宋" w:eastAsia="仿宋"/>
          <w:color w:val="auto"/>
          <w:sz w:val="32"/>
          <w:szCs w:val="32"/>
        </w:rPr>
        <w:t>根据管理需要，选择部分</w:t>
      </w:r>
      <w:r>
        <w:rPr>
          <w:rFonts w:hint="eastAsia" w:ascii="仿宋" w:hAnsi="仿宋" w:eastAsia="仿宋"/>
          <w:color w:val="auto"/>
          <w:sz w:val="32"/>
          <w:szCs w:val="32"/>
        </w:rPr>
        <w:t>区</w:t>
      </w:r>
      <w:r>
        <w:rPr>
          <w:rFonts w:ascii="仿宋" w:hAnsi="仿宋" w:eastAsia="仿宋"/>
          <w:color w:val="auto"/>
          <w:sz w:val="32"/>
          <w:szCs w:val="32"/>
        </w:rPr>
        <w:t>级部门和单位开展整体绩效评价。</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第十六条 整体绩效评价主要从部门和单位整体绩效目标</w:t>
      </w:r>
      <w:r>
        <w:rPr>
          <w:rFonts w:hint="eastAsia" w:ascii="仿宋" w:hAnsi="仿宋" w:eastAsia="仿宋"/>
          <w:color w:val="auto"/>
          <w:sz w:val="32"/>
          <w:szCs w:val="32"/>
        </w:rPr>
        <w:t>、</w:t>
      </w:r>
      <w:r>
        <w:rPr>
          <w:rFonts w:ascii="仿宋" w:hAnsi="仿宋" w:eastAsia="仿宋"/>
          <w:color w:val="auto"/>
          <w:sz w:val="32"/>
          <w:szCs w:val="32"/>
        </w:rPr>
        <w:t>资源配置、资产管理水平、运行成本控制情况、履职效能实现情况、可持续发展能力以及满意度情况等方面，设置评价指标进行评价，衡量部门和单位整体成效与核心业务实施效果。</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第十七条 整体绩效评价指标体系应当符合以下要求：</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一</w:t>
      </w:r>
      <w:r>
        <w:rPr>
          <w:rFonts w:ascii="仿宋" w:hAnsi="仿宋" w:eastAsia="仿宋"/>
          <w:color w:val="auto"/>
          <w:sz w:val="32"/>
          <w:szCs w:val="32"/>
        </w:rPr>
        <w:t>）与整体绩效指标充分衔接，全面反映整体目标、资金资源配置、管理效率、运行成本、履职效能、可持续发展能力和满意度等。</w:t>
      </w:r>
    </w:p>
    <w:p>
      <w:pPr>
        <w:spacing w:line="360" w:lineRule="auto"/>
        <w:ind w:firstLine="640" w:firstLineChars="200"/>
        <w:rPr>
          <w:rFonts w:ascii="仿宋" w:hAnsi="仿宋" w:eastAsia="仿宋"/>
          <w:color w:val="auto"/>
          <w:sz w:val="32"/>
          <w:szCs w:val="32"/>
        </w:rPr>
      </w:pPr>
      <w:bookmarkStart w:id="22" w:name="bookmark28"/>
      <w:r>
        <w:rPr>
          <w:rFonts w:ascii="仿宋" w:hAnsi="仿宋" w:eastAsia="仿宋"/>
          <w:color w:val="auto"/>
          <w:sz w:val="32"/>
          <w:szCs w:val="32"/>
        </w:rPr>
        <w:t>（</w:t>
      </w:r>
      <w:bookmarkEnd w:id="22"/>
      <w:r>
        <w:rPr>
          <w:rFonts w:ascii="仿宋" w:hAnsi="仿宋" w:eastAsia="仿宋"/>
          <w:color w:val="auto"/>
          <w:sz w:val="32"/>
          <w:szCs w:val="32"/>
        </w:rPr>
        <w:t>二）优先选取最具代表性、最能直接反映部门和单位履职 的核心指标，精简实用</w:t>
      </w:r>
      <w:r>
        <w:rPr>
          <w:rFonts w:hint="eastAsia" w:ascii="仿宋" w:hAnsi="仿宋" w:eastAsia="仿宋"/>
          <w:color w:val="auto"/>
          <w:sz w:val="32"/>
          <w:szCs w:val="32"/>
        </w:rPr>
        <w:t>。</w:t>
      </w:r>
      <w:bookmarkStart w:id="23" w:name="bookmark29"/>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w:t>
      </w:r>
      <w:bookmarkEnd w:id="23"/>
      <w:r>
        <w:rPr>
          <w:rFonts w:ascii="仿宋" w:hAnsi="仿宋" w:eastAsia="仿宋"/>
          <w:color w:val="auto"/>
          <w:sz w:val="32"/>
          <w:szCs w:val="32"/>
        </w:rPr>
        <w:t>三）指标内涵应当明确、具体、可衡量，数据及佐证资料应当可采集、可获得。</w:t>
      </w:r>
      <w:bookmarkStart w:id="24" w:name="bookmark30"/>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w:t>
      </w:r>
      <w:bookmarkEnd w:id="24"/>
      <w:r>
        <w:rPr>
          <w:rFonts w:ascii="仿宋" w:hAnsi="仿宋" w:eastAsia="仿宋"/>
          <w:color w:val="auto"/>
          <w:sz w:val="32"/>
          <w:szCs w:val="32"/>
        </w:rPr>
        <w:t>四）同类部门和单位整体共性评价指标和标准应具有一致性，便于评价结果相互比较。</w:t>
      </w:r>
    </w:p>
    <w:p>
      <w:pPr>
        <w:spacing w:line="360" w:lineRule="auto"/>
        <w:ind w:firstLine="640" w:firstLineChars="200"/>
        <w:rPr>
          <w:rFonts w:ascii="仿宋" w:hAnsi="仿宋" w:eastAsia="仿宋"/>
          <w:color w:val="auto"/>
          <w:sz w:val="32"/>
          <w:szCs w:val="32"/>
        </w:rPr>
      </w:pPr>
      <w:bookmarkStart w:id="25" w:name="bookmark31"/>
      <w:r>
        <w:rPr>
          <w:rFonts w:ascii="仿宋" w:hAnsi="仿宋" w:eastAsia="仿宋"/>
          <w:color w:val="auto"/>
          <w:sz w:val="32"/>
          <w:szCs w:val="32"/>
        </w:rPr>
        <w:t>（</w:t>
      </w:r>
      <w:bookmarkEnd w:id="25"/>
      <w:r>
        <w:rPr>
          <w:rFonts w:ascii="仿宋" w:hAnsi="仿宋" w:eastAsia="仿宋"/>
          <w:color w:val="auto"/>
          <w:sz w:val="32"/>
          <w:szCs w:val="32"/>
        </w:rPr>
        <w:t>五）评价指标的权重根据各项指标在评价体系中的重要程度确定，应当突出结果导向。</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第十八条</w:t>
      </w:r>
      <w:r>
        <w:rPr>
          <w:rFonts w:hint="eastAsia" w:ascii="仿宋" w:hAnsi="仿宋" w:eastAsia="仿宋"/>
          <w:color w:val="auto"/>
          <w:sz w:val="32"/>
          <w:szCs w:val="32"/>
        </w:rPr>
        <w:t xml:space="preserve"> </w:t>
      </w:r>
      <w:r>
        <w:rPr>
          <w:rFonts w:ascii="仿宋" w:hAnsi="仿宋" w:eastAsia="仿宋"/>
          <w:color w:val="auto"/>
          <w:sz w:val="32"/>
          <w:szCs w:val="32"/>
        </w:rPr>
        <w:t>整体绩效评价方法。整体绩效评价的方法主要包括成本效益分析法、比较法、因素分析法、最低成本法、公众评判法、标杆管理法等。根据评价对象的具体情况，可采用一种或多种方法。</w:t>
      </w:r>
    </w:p>
    <w:p>
      <w:pPr>
        <w:spacing w:line="360" w:lineRule="auto"/>
        <w:ind w:firstLine="640" w:firstLineChars="200"/>
        <w:rPr>
          <w:rFonts w:ascii="仿宋" w:hAnsi="仿宋" w:eastAsia="仿宋"/>
          <w:color w:val="auto"/>
          <w:sz w:val="32"/>
          <w:szCs w:val="32"/>
        </w:rPr>
      </w:pPr>
      <w:bookmarkStart w:id="26" w:name="bookmark32"/>
      <w:r>
        <w:rPr>
          <w:rFonts w:ascii="仿宋" w:hAnsi="仿宋" w:eastAsia="仿宋"/>
          <w:color w:val="auto"/>
          <w:sz w:val="32"/>
          <w:szCs w:val="32"/>
        </w:rPr>
        <w:t>（</w:t>
      </w:r>
      <w:bookmarkEnd w:id="26"/>
      <w:r>
        <w:rPr>
          <w:rFonts w:ascii="仿宋" w:hAnsi="仿宋" w:eastAsia="仿宋"/>
          <w:color w:val="auto"/>
          <w:sz w:val="32"/>
          <w:szCs w:val="32"/>
        </w:rPr>
        <w:t>一）成本效益分析法，是指将投入与产出、效益进行关联性分析的方法</w:t>
      </w:r>
      <w:r>
        <w:rPr>
          <w:rFonts w:hint="eastAsia" w:ascii="仿宋" w:hAnsi="仿宋" w:eastAsia="仿宋"/>
          <w:color w:val="auto"/>
          <w:sz w:val="32"/>
          <w:szCs w:val="32"/>
        </w:rPr>
        <w:t>。</w:t>
      </w:r>
    </w:p>
    <w:p>
      <w:pPr>
        <w:spacing w:line="360" w:lineRule="auto"/>
        <w:ind w:firstLine="640" w:firstLineChars="200"/>
        <w:rPr>
          <w:rFonts w:ascii="仿宋" w:hAnsi="仿宋" w:eastAsia="仿宋"/>
          <w:color w:val="auto"/>
          <w:sz w:val="32"/>
          <w:szCs w:val="32"/>
        </w:rPr>
      </w:pPr>
      <w:bookmarkStart w:id="27" w:name="bookmark33"/>
      <w:r>
        <w:rPr>
          <w:rFonts w:ascii="仿宋" w:hAnsi="仿宋" w:eastAsia="仿宋"/>
          <w:color w:val="auto"/>
          <w:sz w:val="32"/>
          <w:szCs w:val="32"/>
        </w:rPr>
        <w:t>（</w:t>
      </w:r>
      <w:bookmarkEnd w:id="27"/>
      <w:r>
        <w:rPr>
          <w:rFonts w:ascii="仿宋" w:hAnsi="仿宋" w:eastAsia="仿宋"/>
          <w:color w:val="auto"/>
          <w:sz w:val="32"/>
          <w:szCs w:val="32"/>
        </w:rPr>
        <w:t>二）比较法，是指将实施情况与绩效目标、历史情况、不 同部门和地区同类情况进行比较的方法。</w:t>
      </w:r>
    </w:p>
    <w:p>
      <w:pPr>
        <w:spacing w:line="360" w:lineRule="auto"/>
        <w:ind w:firstLine="640" w:firstLineChars="200"/>
        <w:rPr>
          <w:rFonts w:ascii="仿宋" w:hAnsi="仿宋" w:eastAsia="仿宋"/>
          <w:color w:val="auto"/>
          <w:sz w:val="32"/>
          <w:szCs w:val="32"/>
        </w:rPr>
      </w:pPr>
      <w:bookmarkStart w:id="28" w:name="bookmark34"/>
      <w:r>
        <w:rPr>
          <w:rFonts w:ascii="仿宋" w:hAnsi="仿宋" w:eastAsia="仿宋"/>
          <w:color w:val="auto"/>
          <w:sz w:val="32"/>
          <w:szCs w:val="32"/>
        </w:rPr>
        <w:t>（</w:t>
      </w:r>
      <w:bookmarkEnd w:id="28"/>
      <w:r>
        <w:rPr>
          <w:rFonts w:ascii="仿宋" w:hAnsi="仿宋" w:eastAsia="仿宋"/>
          <w:color w:val="auto"/>
          <w:sz w:val="32"/>
          <w:szCs w:val="32"/>
        </w:rPr>
        <w:t>三）因素分析法，是指综合分析影响绩效目标实现、实施效果的内外部因素的方法。</w:t>
      </w:r>
    </w:p>
    <w:p>
      <w:pPr>
        <w:spacing w:line="360" w:lineRule="auto"/>
        <w:ind w:firstLine="640" w:firstLineChars="200"/>
        <w:rPr>
          <w:rFonts w:ascii="仿宋" w:hAnsi="仿宋" w:eastAsia="仿宋"/>
          <w:color w:val="auto"/>
          <w:sz w:val="32"/>
          <w:szCs w:val="32"/>
        </w:rPr>
      </w:pPr>
      <w:bookmarkStart w:id="29" w:name="bookmark35"/>
      <w:r>
        <w:rPr>
          <w:rFonts w:ascii="仿宋" w:hAnsi="仿宋" w:eastAsia="仿宋"/>
          <w:color w:val="auto"/>
          <w:sz w:val="32"/>
          <w:szCs w:val="32"/>
        </w:rPr>
        <w:t>（</w:t>
      </w:r>
      <w:bookmarkEnd w:id="29"/>
      <w:r>
        <w:rPr>
          <w:rFonts w:ascii="仿宋" w:hAnsi="仿宋" w:eastAsia="仿宋"/>
          <w:color w:val="auto"/>
          <w:sz w:val="32"/>
          <w:szCs w:val="32"/>
        </w:rPr>
        <w:t>四）最低成本法，是指在绩效目标确定的前提下，成本最小者为优的方法。</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（五）公众评判法，是指通过专家评估、公众问卷及抽样调查等方式进行评判的方法。</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（六）标杆管理法，是指以国内外同行业中较高的绩效水平为标杆进行评判的方法。</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（七）其他评价方法。</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第十九条</w:t>
      </w:r>
      <w:r>
        <w:rPr>
          <w:rFonts w:hint="eastAsia" w:ascii="仿宋" w:hAnsi="仿宋" w:eastAsia="仿宋"/>
          <w:color w:val="auto"/>
          <w:sz w:val="32"/>
          <w:szCs w:val="32"/>
        </w:rPr>
        <w:t xml:space="preserve"> </w:t>
      </w:r>
      <w:r>
        <w:rPr>
          <w:rFonts w:ascii="仿宋" w:hAnsi="仿宋" w:eastAsia="仿宋"/>
          <w:color w:val="auto"/>
          <w:sz w:val="32"/>
          <w:szCs w:val="32"/>
        </w:rPr>
        <w:t>整体绩效评价程序包括评价准备、评价实施和评价结果等环节：</w:t>
      </w:r>
      <w:bookmarkStart w:id="30" w:name="bookmark39"/>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w:t>
      </w:r>
      <w:bookmarkEnd w:id="30"/>
      <w:r>
        <w:rPr>
          <w:rFonts w:ascii="仿宋" w:hAnsi="仿宋" w:eastAsia="仿宋"/>
          <w:color w:val="auto"/>
          <w:sz w:val="32"/>
          <w:szCs w:val="32"/>
        </w:rPr>
        <w:t>一）确定整体绩效评价对象。</w:t>
      </w:r>
    </w:p>
    <w:p>
      <w:pPr>
        <w:spacing w:line="360" w:lineRule="auto"/>
        <w:ind w:firstLine="640" w:firstLineChars="200"/>
        <w:rPr>
          <w:rFonts w:ascii="仿宋" w:hAnsi="仿宋" w:eastAsia="仿宋"/>
          <w:color w:val="auto"/>
          <w:sz w:val="32"/>
          <w:szCs w:val="32"/>
        </w:rPr>
      </w:pPr>
      <w:bookmarkStart w:id="31" w:name="bookmark40"/>
      <w:r>
        <w:rPr>
          <w:rFonts w:ascii="仿宋" w:hAnsi="仿宋" w:eastAsia="仿宋"/>
          <w:color w:val="auto"/>
          <w:sz w:val="32"/>
          <w:szCs w:val="32"/>
        </w:rPr>
        <w:t>（</w:t>
      </w:r>
      <w:bookmarkEnd w:id="31"/>
      <w:r>
        <w:rPr>
          <w:rFonts w:ascii="仿宋" w:hAnsi="仿宋" w:eastAsia="仿宋"/>
          <w:color w:val="auto"/>
          <w:sz w:val="32"/>
          <w:szCs w:val="32"/>
        </w:rPr>
        <w:t>二）</w:t>
      </w:r>
      <w:r>
        <w:rPr>
          <w:rFonts w:hint="eastAsia" w:ascii="仿宋" w:hAnsi="仿宋" w:eastAsia="仿宋"/>
          <w:color w:val="auto"/>
          <w:sz w:val="32"/>
          <w:szCs w:val="32"/>
        </w:rPr>
        <w:t>下</w:t>
      </w:r>
      <w:r>
        <w:rPr>
          <w:rFonts w:ascii="仿宋" w:hAnsi="仿宋" w:eastAsia="仿宋"/>
          <w:color w:val="auto"/>
          <w:sz w:val="32"/>
          <w:szCs w:val="32"/>
        </w:rPr>
        <w:t>达评价通知。</w:t>
      </w:r>
    </w:p>
    <w:p>
      <w:pPr>
        <w:spacing w:line="360" w:lineRule="auto"/>
        <w:ind w:firstLine="640" w:firstLineChars="200"/>
        <w:rPr>
          <w:rFonts w:ascii="仿宋" w:hAnsi="仿宋" w:eastAsia="仿宋"/>
          <w:color w:val="auto"/>
          <w:sz w:val="32"/>
          <w:szCs w:val="32"/>
        </w:rPr>
      </w:pPr>
      <w:bookmarkStart w:id="32" w:name="bookmark41"/>
      <w:r>
        <w:rPr>
          <w:rFonts w:ascii="仿宋" w:hAnsi="仿宋" w:eastAsia="仿宋"/>
          <w:color w:val="auto"/>
          <w:sz w:val="32"/>
          <w:szCs w:val="32"/>
        </w:rPr>
        <w:t>（</w:t>
      </w:r>
      <w:bookmarkEnd w:id="32"/>
      <w:r>
        <w:rPr>
          <w:rFonts w:ascii="仿宋" w:hAnsi="仿宋" w:eastAsia="仿宋"/>
          <w:color w:val="auto"/>
          <w:sz w:val="32"/>
          <w:szCs w:val="32"/>
        </w:rPr>
        <w:t>三）研究制订绩效评价工作方案。</w:t>
      </w:r>
    </w:p>
    <w:p>
      <w:pPr>
        <w:spacing w:line="360" w:lineRule="auto"/>
        <w:ind w:firstLine="640" w:firstLineChars="200"/>
        <w:rPr>
          <w:rFonts w:ascii="仿宋" w:hAnsi="仿宋" w:eastAsia="仿宋"/>
          <w:color w:val="auto"/>
          <w:sz w:val="32"/>
          <w:szCs w:val="32"/>
        </w:rPr>
      </w:pPr>
      <w:bookmarkStart w:id="33" w:name="bookmark42"/>
      <w:r>
        <w:rPr>
          <w:rFonts w:ascii="仿宋" w:hAnsi="仿宋" w:eastAsia="仿宋"/>
          <w:color w:val="auto"/>
          <w:sz w:val="32"/>
          <w:szCs w:val="32"/>
        </w:rPr>
        <w:t>（</w:t>
      </w:r>
      <w:bookmarkEnd w:id="33"/>
      <w:r>
        <w:rPr>
          <w:rFonts w:ascii="仿宋" w:hAnsi="仿宋" w:eastAsia="仿宋"/>
          <w:color w:val="auto"/>
          <w:sz w:val="32"/>
          <w:szCs w:val="32"/>
        </w:rPr>
        <w:t>四）收集绩效评价相关数据资料，并进行现场调研、踏勘、 座谈、访谈和社会调查等工作。</w:t>
      </w:r>
    </w:p>
    <w:p>
      <w:pPr>
        <w:spacing w:line="360" w:lineRule="auto"/>
        <w:ind w:firstLine="640" w:firstLineChars="200"/>
        <w:rPr>
          <w:rFonts w:ascii="仿宋" w:hAnsi="仿宋" w:eastAsia="仿宋"/>
          <w:color w:val="auto"/>
          <w:sz w:val="32"/>
          <w:szCs w:val="32"/>
        </w:rPr>
      </w:pPr>
      <w:bookmarkStart w:id="34" w:name="bookmark43"/>
      <w:r>
        <w:rPr>
          <w:rFonts w:ascii="仿宋" w:hAnsi="仿宋" w:eastAsia="仿宋"/>
          <w:color w:val="auto"/>
          <w:sz w:val="32"/>
          <w:szCs w:val="32"/>
        </w:rPr>
        <w:t>（</w:t>
      </w:r>
      <w:bookmarkEnd w:id="34"/>
      <w:r>
        <w:rPr>
          <w:rFonts w:ascii="仿宋" w:hAnsi="仿宋" w:eastAsia="仿宋"/>
          <w:color w:val="auto"/>
          <w:sz w:val="32"/>
          <w:szCs w:val="32"/>
        </w:rPr>
        <w:t>五）核实有关情况，分析形成初步结论。</w:t>
      </w:r>
    </w:p>
    <w:p>
      <w:pPr>
        <w:spacing w:line="360" w:lineRule="auto"/>
        <w:ind w:firstLine="640" w:firstLineChars="200"/>
        <w:rPr>
          <w:rFonts w:ascii="仿宋" w:hAnsi="仿宋" w:eastAsia="仿宋"/>
          <w:color w:val="auto"/>
          <w:sz w:val="32"/>
          <w:szCs w:val="32"/>
        </w:rPr>
      </w:pPr>
      <w:bookmarkStart w:id="35" w:name="bookmark44"/>
      <w:r>
        <w:rPr>
          <w:rFonts w:ascii="仿宋" w:hAnsi="仿宋" w:eastAsia="仿宋"/>
          <w:color w:val="auto"/>
          <w:sz w:val="32"/>
          <w:szCs w:val="32"/>
        </w:rPr>
        <w:t>（</w:t>
      </w:r>
      <w:bookmarkEnd w:id="35"/>
      <w:r>
        <w:rPr>
          <w:rFonts w:ascii="仿宋" w:hAnsi="仿宋" w:eastAsia="仿宋"/>
          <w:color w:val="auto"/>
          <w:sz w:val="32"/>
          <w:szCs w:val="32"/>
        </w:rPr>
        <w:t>六）与被评价部门和单位交换意见。</w:t>
      </w:r>
    </w:p>
    <w:p>
      <w:pPr>
        <w:spacing w:line="360" w:lineRule="auto"/>
        <w:ind w:firstLine="640" w:firstLineChars="200"/>
        <w:rPr>
          <w:rFonts w:ascii="仿宋" w:hAnsi="仿宋" w:eastAsia="仿宋"/>
          <w:color w:val="auto"/>
          <w:sz w:val="32"/>
          <w:szCs w:val="32"/>
        </w:rPr>
      </w:pPr>
      <w:bookmarkStart w:id="36" w:name="bookmark45"/>
      <w:r>
        <w:rPr>
          <w:rFonts w:ascii="仿宋" w:hAnsi="仿宋" w:eastAsia="仿宋"/>
          <w:color w:val="auto"/>
          <w:sz w:val="32"/>
          <w:szCs w:val="32"/>
        </w:rPr>
        <w:t>（</w:t>
      </w:r>
      <w:bookmarkEnd w:id="36"/>
      <w:r>
        <w:rPr>
          <w:rFonts w:ascii="仿宋" w:hAnsi="仿宋" w:eastAsia="仿宋"/>
          <w:color w:val="auto"/>
          <w:sz w:val="32"/>
          <w:szCs w:val="32"/>
        </w:rPr>
        <w:t>七）综合分析并形成最终结论。</w:t>
      </w:r>
    </w:p>
    <w:p>
      <w:pPr>
        <w:spacing w:line="360" w:lineRule="auto"/>
        <w:ind w:firstLine="640" w:firstLineChars="200"/>
        <w:rPr>
          <w:rFonts w:ascii="仿宋" w:hAnsi="仿宋" w:eastAsia="仿宋"/>
          <w:color w:val="auto"/>
          <w:sz w:val="32"/>
          <w:szCs w:val="32"/>
        </w:rPr>
      </w:pPr>
      <w:bookmarkStart w:id="37" w:name="bookmark46"/>
      <w:r>
        <w:rPr>
          <w:rFonts w:ascii="仿宋" w:hAnsi="仿宋" w:eastAsia="仿宋"/>
          <w:color w:val="auto"/>
          <w:sz w:val="32"/>
          <w:szCs w:val="32"/>
        </w:rPr>
        <w:t>（</w:t>
      </w:r>
      <w:bookmarkEnd w:id="37"/>
      <w:r>
        <w:rPr>
          <w:rFonts w:ascii="仿宋" w:hAnsi="仿宋" w:eastAsia="仿宋"/>
          <w:color w:val="auto"/>
          <w:sz w:val="32"/>
          <w:szCs w:val="32"/>
        </w:rPr>
        <w:t>八）提交绩效评价报告。</w:t>
      </w:r>
    </w:p>
    <w:p>
      <w:pPr>
        <w:spacing w:line="360" w:lineRule="auto"/>
        <w:ind w:firstLine="640" w:firstLineChars="200"/>
        <w:rPr>
          <w:rFonts w:ascii="仿宋" w:hAnsi="仿宋" w:eastAsia="仿宋"/>
          <w:color w:val="auto"/>
          <w:sz w:val="32"/>
          <w:szCs w:val="32"/>
        </w:rPr>
      </w:pPr>
      <w:bookmarkStart w:id="38" w:name="bookmark47"/>
      <w:r>
        <w:rPr>
          <w:rFonts w:ascii="仿宋" w:hAnsi="仿宋" w:eastAsia="仿宋"/>
          <w:color w:val="auto"/>
          <w:sz w:val="32"/>
          <w:szCs w:val="32"/>
        </w:rPr>
        <w:t>（</w:t>
      </w:r>
      <w:bookmarkEnd w:id="38"/>
      <w:r>
        <w:rPr>
          <w:rFonts w:ascii="仿宋" w:hAnsi="仿宋" w:eastAsia="仿宋"/>
          <w:color w:val="auto"/>
          <w:sz w:val="32"/>
          <w:szCs w:val="32"/>
        </w:rPr>
        <w:t>九）建立绩效评价档案。</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第二十条</w:t>
      </w:r>
      <w:r>
        <w:rPr>
          <w:rFonts w:hint="eastAsia" w:ascii="仿宋" w:hAnsi="仿宋" w:eastAsia="仿宋"/>
          <w:color w:val="auto"/>
          <w:sz w:val="32"/>
          <w:szCs w:val="32"/>
        </w:rPr>
        <w:t xml:space="preserve"> </w:t>
      </w:r>
      <w:r>
        <w:rPr>
          <w:rFonts w:ascii="仿宋" w:hAnsi="仿宋" w:eastAsia="仿宋"/>
          <w:color w:val="auto"/>
          <w:sz w:val="32"/>
          <w:szCs w:val="32"/>
        </w:rPr>
        <w:t>整体绩效评价结果。采取评分和评级相结合的方式，总分一般设置为100分，等级一般划分为四档：90（含）-100 分为优、80（含）-90分为良、60 （含）-80分为中、60分以下为差。</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第二十一条</w:t>
      </w:r>
      <w:r>
        <w:rPr>
          <w:rFonts w:hint="eastAsia" w:ascii="仿宋" w:hAnsi="仿宋" w:eastAsia="仿宋"/>
          <w:color w:val="auto"/>
          <w:sz w:val="32"/>
          <w:szCs w:val="32"/>
        </w:rPr>
        <w:t xml:space="preserve"> </w:t>
      </w:r>
      <w:r>
        <w:rPr>
          <w:rFonts w:ascii="仿宋" w:hAnsi="仿宋" w:eastAsia="仿宋"/>
          <w:color w:val="auto"/>
          <w:sz w:val="32"/>
          <w:szCs w:val="32"/>
        </w:rPr>
        <w:t>根据工作需要，整体绩效评价可委托第三方机构或组织相关领域专家（以下简称第三方）实施，要加强对第三方的指导和监督，确保评价结果的客观和公正。</w:t>
      </w:r>
    </w:p>
    <w:p>
      <w:pPr>
        <w:spacing w:line="360" w:lineRule="auto"/>
        <w:rPr>
          <w:rFonts w:ascii="仿宋" w:hAnsi="仿宋" w:eastAsia="仿宋"/>
          <w:color w:val="auto"/>
          <w:szCs w:val="21"/>
        </w:rPr>
      </w:pPr>
    </w:p>
    <w:p>
      <w:pPr>
        <w:spacing w:line="360" w:lineRule="auto"/>
        <w:jc w:val="center"/>
        <w:rPr>
          <w:rFonts w:ascii="仿宋" w:hAnsi="仿宋" w:eastAsia="仿宋"/>
          <w:b/>
          <w:color w:val="auto"/>
          <w:sz w:val="32"/>
          <w:szCs w:val="32"/>
        </w:rPr>
      </w:pPr>
      <w:r>
        <w:rPr>
          <w:rFonts w:ascii="仿宋" w:hAnsi="仿宋" w:eastAsia="仿宋"/>
          <w:b/>
          <w:color w:val="auto"/>
          <w:sz w:val="32"/>
          <w:szCs w:val="32"/>
        </w:rPr>
        <w:t>第五章</w:t>
      </w:r>
      <w:r>
        <w:rPr>
          <w:rFonts w:hint="eastAsia" w:ascii="仿宋" w:hAnsi="仿宋" w:eastAsia="仿宋"/>
          <w:b/>
          <w:color w:val="auto"/>
          <w:sz w:val="32"/>
          <w:szCs w:val="32"/>
        </w:rPr>
        <w:t xml:space="preserve"> </w:t>
      </w:r>
      <w:r>
        <w:rPr>
          <w:rFonts w:ascii="仿宋" w:hAnsi="仿宋" w:eastAsia="仿宋"/>
          <w:b/>
          <w:color w:val="auto"/>
          <w:sz w:val="32"/>
          <w:szCs w:val="32"/>
        </w:rPr>
        <w:t>评价结果应用及公开</w:t>
      </w:r>
    </w:p>
    <w:p>
      <w:pPr>
        <w:spacing w:line="360" w:lineRule="auto"/>
        <w:rPr>
          <w:rFonts w:ascii="仿宋" w:hAnsi="仿宋" w:eastAsia="仿宋"/>
          <w:b/>
          <w:color w:val="auto"/>
          <w:szCs w:val="21"/>
        </w:rPr>
      </w:pPr>
    </w:p>
    <w:p>
      <w:pPr>
        <w:spacing w:line="360" w:lineRule="auto"/>
        <w:ind w:firstLine="627" w:firstLineChars="196"/>
        <w:rPr>
          <w:rFonts w:ascii="仿宋" w:hAnsi="仿宋" w:eastAsia="仿宋"/>
          <w:color w:val="auto"/>
          <w:sz w:val="32"/>
          <w:szCs w:val="32"/>
        </w:rPr>
      </w:pPr>
      <w:r>
        <w:rPr>
          <w:rFonts w:ascii="仿宋" w:hAnsi="仿宋" w:eastAsia="仿宋"/>
          <w:color w:val="auto"/>
          <w:sz w:val="32"/>
          <w:szCs w:val="32"/>
        </w:rPr>
        <w:t xml:space="preserve">第二十二条 </w:t>
      </w:r>
      <w:r>
        <w:rPr>
          <w:rFonts w:hint="eastAsia" w:ascii="仿宋" w:hAnsi="仿宋" w:eastAsia="仿宋"/>
          <w:color w:val="auto"/>
          <w:sz w:val="32"/>
          <w:szCs w:val="32"/>
        </w:rPr>
        <w:t>区</w:t>
      </w:r>
      <w:r>
        <w:rPr>
          <w:rFonts w:ascii="仿宋" w:hAnsi="仿宋" w:eastAsia="仿宋"/>
          <w:color w:val="auto"/>
          <w:sz w:val="32"/>
          <w:szCs w:val="32"/>
        </w:rPr>
        <w:t>级部门和单位应加强自评结果的分析与应用，将自评结果作为改进管理的重要依据。对预算执行率偏低、自评结果较差的指标，要说明原因，提出整改措施</w:t>
      </w:r>
      <w:r>
        <w:rPr>
          <w:rFonts w:hint="eastAsia" w:ascii="仿宋" w:hAnsi="仿宋" w:eastAsia="仿宋"/>
          <w:color w:val="auto"/>
          <w:sz w:val="32"/>
          <w:szCs w:val="32"/>
        </w:rPr>
        <w:t>。</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第二十三条 区财政金融局应将整体绩效评价结果，及时反馈被评价部门和单位；被评价部门和单位应当按照要求向区财政金融局报送整体落实情况。</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整体绩效评价结果作为安排预算、调整政策和改进管理的重要依据。</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第二十四条 逐步建立整体绩效报告与公开制度。区财政金融局选择部分部门和单位整体绩效目标、绩效自评结果和评价结果，向</w:t>
      </w:r>
      <w:r>
        <w:rPr>
          <w:rFonts w:hint="eastAsia" w:ascii="仿宋" w:hAnsi="仿宋" w:eastAsia="仿宋"/>
          <w:color w:val="auto"/>
          <w:sz w:val="32"/>
          <w:szCs w:val="32"/>
        </w:rPr>
        <w:t>管委会</w:t>
      </w:r>
      <w:r>
        <w:rPr>
          <w:rFonts w:hint="eastAsia" w:ascii="仿宋" w:hAnsi="仿宋" w:eastAsia="仿宋"/>
          <w:color w:val="auto"/>
          <w:sz w:val="32"/>
          <w:szCs w:val="32"/>
        </w:rPr>
        <w:t>报告，并将重点部门整体绩效评价结果向社会公开。</w:t>
      </w:r>
    </w:p>
    <w:p>
      <w:pPr>
        <w:spacing w:line="360" w:lineRule="auto"/>
        <w:ind w:firstLine="420" w:firstLineChars="200"/>
        <w:rPr>
          <w:rFonts w:ascii="仿宋" w:hAnsi="仿宋" w:eastAsia="仿宋"/>
          <w:color w:val="auto"/>
          <w:szCs w:val="21"/>
        </w:rPr>
      </w:pPr>
    </w:p>
    <w:p>
      <w:pPr>
        <w:spacing w:line="360" w:lineRule="auto"/>
        <w:jc w:val="center"/>
        <w:rPr>
          <w:rFonts w:ascii="仿宋" w:hAnsi="仿宋" w:eastAsia="仿宋"/>
          <w:b/>
          <w:color w:val="auto"/>
          <w:sz w:val="32"/>
          <w:szCs w:val="32"/>
        </w:rPr>
      </w:pPr>
      <w:r>
        <w:rPr>
          <w:rFonts w:ascii="仿宋" w:hAnsi="仿宋" w:eastAsia="仿宋"/>
          <w:b/>
          <w:color w:val="auto"/>
          <w:sz w:val="32"/>
          <w:szCs w:val="32"/>
        </w:rPr>
        <w:t>第六章</w:t>
      </w:r>
      <w:r>
        <w:rPr>
          <w:rFonts w:hint="eastAsia" w:ascii="仿宋" w:hAnsi="仿宋" w:eastAsia="仿宋"/>
          <w:b/>
          <w:color w:val="auto"/>
          <w:sz w:val="32"/>
          <w:szCs w:val="32"/>
        </w:rPr>
        <w:t xml:space="preserve"> </w:t>
      </w:r>
      <w:r>
        <w:rPr>
          <w:rFonts w:ascii="仿宋" w:hAnsi="仿宋" w:eastAsia="仿宋"/>
          <w:b/>
          <w:color w:val="auto"/>
          <w:sz w:val="32"/>
          <w:szCs w:val="32"/>
        </w:rPr>
        <w:t>附</w:t>
      </w:r>
      <w:r>
        <w:rPr>
          <w:rFonts w:hint="eastAsia" w:ascii="仿宋" w:hAnsi="仿宋" w:eastAsia="仿宋"/>
          <w:b/>
          <w:color w:val="auto"/>
          <w:sz w:val="32"/>
          <w:szCs w:val="32"/>
        </w:rPr>
        <w:t xml:space="preserve">  则</w:t>
      </w:r>
    </w:p>
    <w:p>
      <w:pPr>
        <w:spacing w:line="360" w:lineRule="auto"/>
        <w:jc w:val="center"/>
        <w:rPr>
          <w:rFonts w:ascii="仿宋" w:hAnsi="仿宋" w:eastAsia="仿宋"/>
          <w:b/>
          <w:color w:val="auto"/>
          <w:szCs w:val="21"/>
        </w:rPr>
      </w:pP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第二十五条 区级部门和单位，</w:t>
      </w:r>
      <w:r>
        <w:rPr>
          <w:rFonts w:ascii="仿宋" w:hAnsi="仿宋" w:eastAsia="仿宋"/>
          <w:color w:val="auto"/>
          <w:sz w:val="32"/>
          <w:szCs w:val="32"/>
        </w:rPr>
        <w:t>各</w:t>
      </w:r>
      <w:r>
        <w:rPr>
          <w:rFonts w:hint="eastAsia" w:ascii="仿宋" w:hAnsi="仿宋" w:eastAsia="仿宋"/>
          <w:color w:val="auto"/>
          <w:sz w:val="32"/>
          <w:szCs w:val="32"/>
        </w:rPr>
        <w:t>集团、运营公司可结合实际，制定具体实施细则。</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 xml:space="preserve">第二十六条 </w:t>
      </w:r>
      <w:r>
        <w:rPr>
          <w:rFonts w:hint="eastAsia" w:ascii="仿宋" w:hAnsi="仿宋" w:eastAsia="仿宋"/>
          <w:color w:val="auto"/>
          <w:sz w:val="32"/>
          <w:szCs w:val="32"/>
        </w:rPr>
        <w:t>各街道可参照本办法，开展本级部门和单位</w:t>
      </w:r>
      <w:r>
        <w:rPr>
          <w:rFonts w:ascii="仿宋" w:hAnsi="仿宋" w:eastAsia="仿宋"/>
          <w:color w:val="auto"/>
          <w:sz w:val="32"/>
          <w:szCs w:val="32"/>
        </w:rPr>
        <w:t>整体绩效管理办法。</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第二十七条 本办法自印发之日起施行。</w:t>
      </w: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附件：1.整体战略目标表</w:t>
      </w:r>
    </w:p>
    <w:p>
      <w:pPr>
        <w:spacing w:line="360" w:lineRule="auto"/>
        <w:ind w:firstLine="1600" w:firstLineChars="5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年度整体绩效目标表</w:t>
      </w:r>
    </w:p>
    <w:p>
      <w:pPr>
        <w:spacing w:line="360" w:lineRule="auto"/>
        <w:ind w:firstLine="1600" w:firstLineChars="500"/>
        <w:rPr>
          <w:rFonts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整体绩效自评表</w:t>
      </w:r>
    </w:p>
    <w:p>
      <w:pPr>
        <w:spacing w:line="360" w:lineRule="auto"/>
        <w:ind w:firstLine="1600" w:firstLineChars="500"/>
        <w:rPr>
          <w:rFonts w:ascii="仿宋" w:hAnsi="仿宋" w:eastAsia="仿宋"/>
          <w:color w:val="auto"/>
          <w:sz w:val="32"/>
          <w:szCs w:val="32"/>
        </w:rPr>
      </w:pPr>
      <w:r>
        <w:rPr>
          <w:rFonts w:hint="eastAsia" w:ascii="仿宋" w:hAnsi="仿宋" w:eastAsia="仿宋"/>
          <w:color w:val="auto"/>
          <w:sz w:val="32"/>
          <w:szCs w:val="32"/>
        </w:rPr>
        <w:t>4.</w:t>
      </w:r>
      <w:r>
        <w:rPr>
          <w:rFonts w:ascii="仿宋" w:hAnsi="仿宋" w:eastAsia="仿宋"/>
          <w:color w:val="auto"/>
          <w:sz w:val="32"/>
          <w:szCs w:val="32"/>
        </w:rPr>
        <w:t>整体绩效指标体系设置说明</w:t>
      </w:r>
    </w:p>
    <w:p>
      <w:pPr>
        <w:spacing w:line="360" w:lineRule="auto"/>
        <w:ind w:firstLine="1600" w:firstLineChars="500"/>
        <w:rPr>
          <w:rFonts w:ascii="仿宋" w:hAnsi="仿宋" w:eastAsia="仿宋"/>
          <w:color w:val="auto"/>
          <w:sz w:val="32"/>
          <w:szCs w:val="32"/>
        </w:rPr>
      </w:pPr>
    </w:p>
    <w:p>
      <w:pPr>
        <w:spacing w:line="360" w:lineRule="auto"/>
        <w:ind w:firstLine="1600" w:firstLineChars="500"/>
        <w:rPr>
          <w:rFonts w:ascii="仿宋" w:hAnsi="仿宋" w:eastAsia="仿宋"/>
          <w:color w:val="auto"/>
          <w:sz w:val="32"/>
          <w:szCs w:val="32"/>
        </w:rPr>
      </w:pPr>
    </w:p>
    <w:p>
      <w:pPr>
        <w:spacing w:line="360" w:lineRule="auto"/>
        <w:ind w:firstLine="1600" w:firstLineChars="500"/>
        <w:rPr>
          <w:rFonts w:ascii="仿宋" w:hAnsi="仿宋" w:eastAsia="仿宋"/>
          <w:color w:val="auto"/>
          <w:sz w:val="32"/>
          <w:szCs w:val="32"/>
        </w:rPr>
      </w:pPr>
    </w:p>
    <w:p>
      <w:pPr>
        <w:spacing w:line="360" w:lineRule="auto"/>
        <w:ind w:firstLine="1600" w:firstLineChars="500"/>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p>
    <w:p>
      <w:pPr>
        <w:spacing w:line="360" w:lineRule="auto"/>
        <w:rPr>
          <w:rFonts w:hint="eastAsia" w:ascii="仿宋" w:hAnsi="仿宋" w:eastAsia="仿宋"/>
          <w:color w:val="auto"/>
          <w:sz w:val="32"/>
          <w:szCs w:val="32"/>
        </w:rPr>
      </w:pPr>
    </w:p>
    <w:p>
      <w:pPr>
        <w:spacing w:line="360" w:lineRule="auto"/>
        <w:rPr>
          <w:rFonts w:hint="eastAsia" w:ascii="仿宋" w:hAnsi="仿宋" w:eastAsia="仿宋"/>
          <w:color w:val="auto"/>
          <w:sz w:val="32"/>
          <w:szCs w:val="32"/>
          <w:lang w:eastAsia="zh-CN"/>
        </w:rPr>
      </w:pPr>
      <w:r>
        <w:rPr>
          <w:rFonts w:ascii="仿宋" w:hAnsi="仿宋" w:eastAsia="仿宋"/>
          <w:color w:val="auto"/>
          <w:sz w:val="32"/>
          <w:szCs w:val="32"/>
        </w:rPr>
        <w:t>附件</w:t>
      </w:r>
      <w:r>
        <w:rPr>
          <w:rFonts w:hint="eastAsia" w:ascii="仿宋" w:hAnsi="仿宋" w:eastAsia="仿宋"/>
          <w:color w:val="auto"/>
          <w:sz w:val="32"/>
          <w:szCs w:val="32"/>
          <w:lang w:val="en-US" w:eastAsia="zh-CN"/>
        </w:rPr>
        <w:t>4</w:t>
      </w:r>
    </w:p>
    <w:p>
      <w:pPr>
        <w:spacing w:line="360" w:lineRule="auto"/>
        <w:rPr>
          <w:rFonts w:ascii="仿宋" w:hAnsi="仿宋" w:eastAsia="仿宋"/>
          <w:color w:val="auto"/>
          <w:sz w:val="32"/>
          <w:szCs w:val="32"/>
        </w:rPr>
      </w:pPr>
    </w:p>
    <w:p>
      <w:pPr>
        <w:spacing w:line="360" w:lineRule="auto"/>
        <w:jc w:val="center"/>
        <w:rPr>
          <w:rFonts w:ascii="仿宋" w:hAnsi="仿宋" w:eastAsia="仿宋"/>
          <w:b/>
          <w:color w:val="auto"/>
          <w:sz w:val="44"/>
          <w:szCs w:val="44"/>
        </w:rPr>
      </w:pPr>
      <w:bookmarkStart w:id="39" w:name="bookmark56"/>
      <w:bookmarkStart w:id="40" w:name="bookmark55"/>
      <w:bookmarkStart w:id="41" w:name="bookmark54"/>
      <w:r>
        <w:rPr>
          <w:rFonts w:ascii="仿宋" w:hAnsi="仿宋" w:eastAsia="仿宋"/>
          <w:b/>
          <w:color w:val="auto"/>
          <w:sz w:val="44"/>
          <w:szCs w:val="44"/>
        </w:rPr>
        <w:t>整体绩效指标体系设置说明</w:t>
      </w:r>
      <w:bookmarkEnd w:id="39"/>
      <w:bookmarkEnd w:id="40"/>
      <w:bookmarkEnd w:id="41"/>
    </w:p>
    <w:p>
      <w:pPr>
        <w:spacing w:line="360" w:lineRule="auto"/>
        <w:jc w:val="center"/>
        <w:rPr>
          <w:rFonts w:ascii="仿宋" w:hAnsi="仿宋" w:eastAsia="仿宋"/>
          <w:b/>
          <w:color w:val="auto"/>
          <w:sz w:val="32"/>
          <w:szCs w:val="32"/>
        </w:rPr>
      </w:pPr>
    </w:p>
    <w:p>
      <w:pPr>
        <w:spacing w:line="360" w:lineRule="auto"/>
        <w:ind w:firstLine="643" w:firstLineChars="200"/>
        <w:rPr>
          <w:rFonts w:ascii="仿宋" w:hAnsi="仿宋" w:eastAsia="仿宋"/>
          <w:b/>
          <w:color w:val="auto"/>
          <w:sz w:val="32"/>
          <w:szCs w:val="32"/>
        </w:rPr>
      </w:pPr>
      <w:r>
        <w:rPr>
          <w:rFonts w:ascii="仿宋" w:hAnsi="仿宋" w:eastAsia="仿宋"/>
          <w:b/>
          <w:color w:val="auto"/>
          <w:sz w:val="32"/>
          <w:szCs w:val="32"/>
        </w:rPr>
        <w:t>—、整体绩效指标体系内容</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整体绩效指标体系主要是反映部门工作特点、履职特色的指标</w:t>
      </w:r>
      <w:r>
        <w:rPr>
          <w:rFonts w:hint="eastAsia" w:ascii="仿宋" w:hAnsi="仿宋" w:eastAsia="仿宋"/>
          <w:color w:val="auto"/>
          <w:sz w:val="32"/>
          <w:szCs w:val="32"/>
        </w:rPr>
        <w:t>。</w:t>
      </w:r>
      <w:r>
        <w:rPr>
          <w:rFonts w:ascii="仿宋" w:hAnsi="仿宋" w:eastAsia="仿宋"/>
          <w:color w:val="auto"/>
          <w:sz w:val="32"/>
          <w:szCs w:val="32"/>
        </w:rPr>
        <w:t>主要包括四部分：一是履职效能，重点反映部门核心职能及其年度绩效指标;二是社会效应，重点反映部门使命所呈现出的关键指标</w:t>
      </w:r>
      <w:r>
        <w:rPr>
          <w:rFonts w:hint="eastAsia" w:ascii="仿宋" w:hAnsi="仿宋" w:eastAsia="仿宋"/>
          <w:color w:val="auto"/>
          <w:sz w:val="32"/>
          <w:szCs w:val="32"/>
        </w:rPr>
        <w:t>；</w:t>
      </w:r>
      <w:r>
        <w:rPr>
          <w:rFonts w:ascii="仿宋" w:hAnsi="仿宋" w:eastAsia="仿宋"/>
          <w:color w:val="auto"/>
          <w:sz w:val="32"/>
          <w:szCs w:val="32"/>
        </w:rPr>
        <w:t>三是可持续发展能力，重点反映部门专业职能及其年度绩效指标</w:t>
      </w:r>
      <w:r>
        <w:rPr>
          <w:rFonts w:hint="eastAsia" w:ascii="仿宋" w:hAnsi="仿宋" w:eastAsia="仿宋"/>
          <w:color w:val="auto"/>
          <w:sz w:val="32"/>
          <w:szCs w:val="32"/>
        </w:rPr>
        <w:t>；</w:t>
      </w:r>
      <w:r>
        <w:rPr>
          <w:rFonts w:ascii="仿宋" w:hAnsi="仿宋" w:eastAsia="仿宋"/>
          <w:color w:val="auto"/>
          <w:sz w:val="32"/>
          <w:szCs w:val="32"/>
        </w:rPr>
        <w:t>四是服务对象满意度，重点反映部门服务对象的满意度，包括对部门职能实现情况、提供服务情况以及重点民生项目的满意程度等。</w:t>
      </w:r>
    </w:p>
    <w:p>
      <w:pPr>
        <w:spacing w:line="360" w:lineRule="auto"/>
        <w:ind w:firstLine="643" w:firstLineChars="200"/>
        <w:rPr>
          <w:rFonts w:ascii="仿宋" w:hAnsi="仿宋" w:eastAsia="仿宋"/>
          <w:b/>
          <w:color w:val="auto"/>
          <w:sz w:val="32"/>
          <w:szCs w:val="32"/>
        </w:rPr>
      </w:pPr>
      <w:r>
        <w:rPr>
          <w:rFonts w:ascii="仿宋" w:hAnsi="仿宋" w:eastAsia="仿宋"/>
          <w:b/>
          <w:color w:val="auto"/>
          <w:sz w:val="32"/>
          <w:szCs w:val="32"/>
        </w:rPr>
        <w:t>二、整体绩效指标体系构建原则、框架</w:t>
      </w:r>
      <w:r>
        <w:rPr>
          <w:rFonts w:hint="eastAsia" w:ascii="仿宋" w:hAnsi="仿宋" w:eastAsia="仿宋"/>
          <w:b/>
          <w:color w:val="auto"/>
          <w:sz w:val="32"/>
          <w:szCs w:val="32"/>
        </w:rPr>
        <w:t>、</w:t>
      </w:r>
      <w:r>
        <w:rPr>
          <w:rFonts w:ascii="仿宋" w:hAnsi="仿宋" w:eastAsia="仿宋"/>
          <w:b/>
          <w:color w:val="auto"/>
          <w:sz w:val="32"/>
          <w:szCs w:val="32"/>
        </w:rPr>
        <w:t>构建路径</w:t>
      </w:r>
    </w:p>
    <w:p>
      <w:pPr>
        <w:spacing w:line="360" w:lineRule="auto"/>
        <w:ind w:firstLine="480" w:firstLineChars="150"/>
        <w:rPr>
          <w:rFonts w:ascii="仿宋" w:hAnsi="仿宋" w:eastAsia="仿宋"/>
          <w:color w:val="auto"/>
          <w:sz w:val="32"/>
          <w:szCs w:val="32"/>
        </w:rPr>
      </w:pPr>
      <w:r>
        <w:rPr>
          <w:rFonts w:ascii="仿宋" w:hAnsi="仿宋" w:eastAsia="仿宋"/>
          <w:color w:val="auto"/>
          <w:sz w:val="32"/>
          <w:szCs w:val="32"/>
        </w:rPr>
        <w:t>（一）构建原则</w:t>
      </w:r>
    </w:p>
    <w:p>
      <w:pPr>
        <w:spacing w:line="360" w:lineRule="auto"/>
        <w:ind w:firstLine="640" w:firstLineChars="200"/>
        <w:rPr>
          <w:rFonts w:ascii="仿宋" w:hAnsi="仿宋" w:eastAsia="仿宋"/>
          <w:color w:val="auto"/>
          <w:sz w:val="32"/>
          <w:szCs w:val="32"/>
        </w:rPr>
      </w:pPr>
      <w:bookmarkStart w:id="42" w:name="bookmark57"/>
      <w:bookmarkEnd w:id="42"/>
      <w:r>
        <w:rPr>
          <w:rFonts w:hint="eastAsia" w:ascii="仿宋" w:hAnsi="仿宋" w:eastAsia="仿宋"/>
          <w:color w:val="auto"/>
          <w:sz w:val="32"/>
          <w:szCs w:val="32"/>
        </w:rPr>
        <w:t>1.</w:t>
      </w:r>
      <w:r>
        <w:rPr>
          <w:rFonts w:ascii="仿宋" w:hAnsi="仿宋" w:eastAsia="仿宋"/>
          <w:color w:val="auto"/>
          <w:sz w:val="32"/>
          <w:szCs w:val="32"/>
        </w:rPr>
        <w:t>体系完整化。指标体系以结果性指标为主，过程性指标为辅</w:t>
      </w:r>
      <w:r>
        <w:rPr>
          <w:rFonts w:hint="eastAsia" w:ascii="仿宋" w:hAnsi="仿宋" w:eastAsia="仿宋"/>
          <w:color w:val="auto"/>
          <w:sz w:val="32"/>
          <w:szCs w:val="32"/>
        </w:rPr>
        <w:t>，</w:t>
      </w:r>
      <w:r>
        <w:rPr>
          <w:rFonts w:ascii="仿宋" w:hAnsi="仿宋" w:eastAsia="仿宋"/>
          <w:color w:val="auto"/>
          <w:sz w:val="32"/>
          <w:szCs w:val="32"/>
        </w:rPr>
        <w:t>覆盖部门的核心职能，逻辑清晰，体系完整，不是部门碎片工作的简单整合，应能够系统完整呈现部门的核心履职效能。</w:t>
      </w:r>
    </w:p>
    <w:p>
      <w:pPr>
        <w:spacing w:line="360" w:lineRule="auto"/>
        <w:ind w:firstLine="640" w:firstLineChars="200"/>
        <w:rPr>
          <w:rFonts w:ascii="仿宋" w:hAnsi="仿宋" w:eastAsia="仿宋"/>
          <w:color w:val="auto"/>
          <w:sz w:val="32"/>
          <w:szCs w:val="32"/>
        </w:rPr>
      </w:pPr>
      <w:bookmarkStart w:id="43" w:name="bookmark58"/>
      <w:bookmarkEnd w:id="43"/>
      <w:r>
        <w:rPr>
          <w:rFonts w:hint="eastAsia" w:ascii="仿宋" w:hAnsi="仿宋" w:eastAsia="仿宋"/>
          <w:color w:val="auto"/>
          <w:sz w:val="32"/>
          <w:szCs w:val="32"/>
        </w:rPr>
        <w:t>2.</w:t>
      </w:r>
      <w:r>
        <w:rPr>
          <w:rFonts w:ascii="仿宋" w:hAnsi="仿宋" w:eastAsia="仿宋"/>
          <w:color w:val="auto"/>
          <w:sz w:val="32"/>
          <w:szCs w:val="32"/>
        </w:rPr>
        <w:t>指标标准化。在全市统一框架体系内，基于规划和职责基础上构建指标体系</w:t>
      </w:r>
      <w:r>
        <w:rPr>
          <w:rFonts w:hint="eastAsia" w:ascii="仿宋" w:hAnsi="仿宋" w:eastAsia="仿宋"/>
          <w:color w:val="auto"/>
          <w:sz w:val="32"/>
          <w:szCs w:val="32"/>
        </w:rPr>
        <w:t>，</w:t>
      </w:r>
      <w:r>
        <w:rPr>
          <w:rFonts w:ascii="仿宋" w:hAnsi="仿宋" w:eastAsia="仿宋"/>
          <w:color w:val="auto"/>
          <w:sz w:val="32"/>
          <w:szCs w:val="32"/>
        </w:rPr>
        <w:t>指标相对稳定，可实现纵向可比和横向可比。</w:t>
      </w:r>
    </w:p>
    <w:p>
      <w:pPr>
        <w:spacing w:line="360" w:lineRule="auto"/>
        <w:ind w:firstLine="640" w:firstLineChars="200"/>
        <w:rPr>
          <w:rFonts w:ascii="仿宋" w:hAnsi="仿宋" w:eastAsia="仿宋"/>
          <w:color w:val="auto"/>
          <w:sz w:val="32"/>
          <w:szCs w:val="32"/>
        </w:rPr>
      </w:pPr>
      <w:bookmarkStart w:id="44" w:name="bookmark59"/>
      <w:bookmarkEnd w:id="44"/>
      <w:r>
        <w:rPr>
          <w:rFonts w:hint="eastAsia" w:ascii="仿宋" w:hAnsi="仿宋" w:eastAsia="仿宋"/>
          <w:color w:val="auto"/>
          <w:sz w:val="32"/>
          <w:szCs w:val="32"/>
        </w:rPr>
        <w:t>3.</w:t>
      </w:r>
      <w:r>
        <w:rPr>
          <w:rFonts w:ascii="仿宋" w:hAnsi="仿宋" w:eastAsia="仿宋"/>
          <w:color w:val="auto"/>
          <w:sz w:val="32"/>
          <w:szCs w:val="32"/>
        </w:rPr>
        <w:t>标准明确化。以明确指标标准值或历史值，作为设定和审核指标值的参考依据。</w:t>
      </w:r>
    </w:p>
    <w:p>
      <w:pPr>
        <w:spacing w:line="360" w:lineRule="auto"/>
        <w:ind w:firstLine="640" w:firstLineChars="200"/>
        <w:rPr>
          <w:rFonts w:ascii="仿宋" w:hAnsi="仿宋" w:eastAsia="仿宋"/>
          <w:color w:val="auto"/>
          <w:sz w:val="32"/>
          <w:szCs w:val="32"/>
        </w:rPr>
      </w:pPr>
      <w:bookmarkStart w:id="45" w:name="bookmark60"/>
      <w:bookmarkEnd w:id="45"/>
      <w:r>
        <w:rPr>
          <w:rFonts w:hint="eastAsia" w:ascii="仿宋" w:hAnsi="仿宋" w:eastAsia="仿宋"/>
          <w:color w:val="auto"/>
          <w:sz w:val="32"/>
          <w:szCs w:val="32"/>
        </w:rPr>
        <w:t>4.</w:t>
      </w:r>
      <w:r>
        <w:rPr>
          <w:rFonts w:ascii="仿宋" w:hAnsi="仿宋" w:eastAsia="仿宋"/>
          <w:color w:val="auto"/>
          <w:sz w:val="32"/>
          <w:szCs w:val="32"/>
        </w:rPr>
        <w:t>来源可溯化。指标、指标值、标准值及历史值等都要有明确可追溯的来源，强调客观性和权威性，为整体绩效自评和评价奠定基础。</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(二)构建总体框架、构建路径和基本要求</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整体绩效指标体系由整体战略指标体系和部门年度整体绩效指标体系两个层次指标和目标构成。</w:t>
      </w:r>
    </w:p>
    <w:p>
      <w:pPr>
        <w:spacing w:line="360" w:lineRule="auto"/>
        <w:ind w:firstLine="640" w:firstLineChars="200"/>
        <w:rPr>
          <w:rFonts w:ascii="仿宋" w:hAnsi="仿宋" w:eastAsia="仿宋"/>
          <w:color w:val="auto"/>
          <w:sz w:val="32"/>
          <w:szCs w:val="32"/>
        </w:rPr>
      </w:pPr>
      <w:bookmarkStart w:id="46" w:name="bookmark61"/>
      <w:bookmarkEnd w:id="46"/>
      <w:r>
        <w:rPr>
          <w:rFonts w:hint="eastAsia" w:ascii="仿宋" w:hAnsi="仿宋" w:eastAsia="仿宋"/>
          <w:color w:val="auto"/>
          <w:sz w:val="32"/>
          <w:szCs w:val="32"/>
        </w:rPr>
        <w:t>1.</w:t>
      </w:r>
      <w:r>
        <w:rPr>
          <w:rFonts w:ascii="仿宋" w:hAnsi="仿宋" w:eastAsia="仿宋"/>
          <w:color w:val="auto"/>
          <w:sz w:val="32"/>
          <w:szCs w:val="32"/>
        </w:rPr>
        <w:t>整体战略绩效指标及目标</w:t>
      </w:r>
    </w:p>
    <w:p>
      <w:pPr>
        <w:spacing w:line="360" w:lineRule="auto"/>
        <w:ind w:firstLine="480" w:firstLineChars="150"/>
        <w:rPr>
          <w:rFonts w:ascii="仿宋" w:hAnsi="仿宋" w:eastAsia="仿宋"/>
          <w:color w:val="auto"/>
          <w:sz w:val="32"/>
          <w:szCs w:val="32"/>
        </w:rPr>
      </w:pPr>
      <w:bookmarkStart w:id="47" w:name="bookmark62"/>
      <w:bookmarkEnd w:id="47"/>
      <w:r>
        <w:rPr>
          <w:rFonts w:hint="eastAsia" w:ascii="仿宋" w:hAnsi="仿宋" w:eastAsia="仿宋"/>
          <w:color w:val="auto"/>
          <w:sz w:val="32"/>
          <w:szCs w:val="32"/>
        </w:rPr>
        <w:t>（1）</w:t>
      </w:r>
      <w:r>
        <w:rPr>
          <w:rFonts w:ascii="仿宋" w:hAnsi="仿宋" w:eastAsia="仿宋"/>
          <w:color w:val="auto"/>
          <w:sz w:val="32"/>
          <w:szCs w:val="32"/>
        </w:rPr>
        <w:t>来源：中长期区域发展规划、行业或事业发展规划</w:t>
      </w:r>
    </w:p>
    <w:p>
      <w:pPr>
        <w:spacing w:line="360" w:lineRule="auto"/>
        <w:ind w:firstLine="480" w:firstLineChars="150"/>
        <w:rPr>
          <w:rFonts w:ascii="仿宋" w:hAnsi="仿宋" w:eastAsia="仿宋"/>
          <w:color w:val="auto"/>
          <w:sz w:val="32"/>
          <w:szCs w:val="32"/>
        </w:rPr>
      </w:pPr>
      <w:bookmarkStart w:id="48" w:name="bookmark63"/>
      <w:bookmarkEnd w:id="48"/>
      <w:r>
        <w:rPr>
          <w:rFonts w:hint="eastAsia" w:ascii="仿宋" w:hAnsi="仿宋" w:eastAsia="仿宋"/>
          <w:color w:val="auto"/>
          <w:sz w:val="32"/>
          <w:szCs w:val="32"/>
        </w:rPr>
        <w:t>（2）</w:t>
      </w:r>
      <w:r>
        <w:rPr>
          <w:rFonts w:ascii="仿宋" w:hAnsi="仿宋" w:eastAsia="仿宋"/>
          <w:color w:val="auto"/>
          <w:sz w:val="32"/>
          <w:szCs w:val="32"/>
        </w:rPr>
        <w:t>设定原则和思路：</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通过对中长期发展规划的梳理、分解，以地方政府出台的或上级业务主管部门出台的规划为主，</w:t>
      </w:r>
      <w:r>
        <w:rPr>
          <w:rFonts w:hint="eastAsia" w:ascii="仿宋" w:hAnsi="仿宋" w:eastAsia="仿宋"/>
          <w:color w:val="auto"/>
          <w:sz w:val="32"/>
          <w:szCs w:val="32"/>
        </w:rPr>
        <w:t>选择</w:t>
      </w:r>
      <w:r>
        <w:rPr>
          <w:rFonts w:ascii="仿宋" w:hAnsi="仿宋" w:eastAsia="仿宋"/>
          <w:color w:val="auto"/>
          <w:sz w:val="32"/>
          <w:szCs w:val="32"/>
        </w:rPr>
        <w:t>由部门承担主要责任、体现区域特色的指标作为战略性目标。</w:t>
      </w:r>
    </w:p>
    <w:p>
      <w:pPr>
        <w:spacing w:line="360" w:lineRule="auto"/>
        <w:ind w:firstLine="640" w:firstLineChars="200"/>
        <w:rPr>
          <w:rFonts w:ascii="仿宋" w:hAnsi="仿宋" w:eastAsia="仿宋"/>
          <w:color w:val="auto"/>
          <w:sz w:val="32"/>
          <w:szCs w:val="32"/>
        </w:rPr>
      </w:pPr>
      <w:bookmarkStart w:id="49" w:name="bookmark64"/>
      <w:bookmarkEnd w:id="49"/>
      <w:r>
        <w:rPr>
          <w:rFonts w:hint="eastAsia" w:ascii="仿宋" w:hAnsi="仿宋" w:eastAsia="仿宋"/>
          <w:color w:val="auto"/>
          <w:sz w:val="32"/>
          <w:szCs w:val="32"/>
        </w:rPr>
        <w:t>2.</w:t>
      </w:r>
      <w:r>
        <w:rPr>
          <w:rFonts w:ascii="仿宋" w:hAnsi="仿宋" w:eastAsia="仿宋"/>
          <w:color w:val="auto"/>
          <w:sz w:val="32"/>
          <w:szCs w:val="32"/>
        </w:rPr>
        <w:t>部门年度整体绩效指标及目标</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部门年度整体绩效指标体系构建按照梳理部门职责-整合职责体系-确定职责目标-设置绩效指标的路径开展。</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部门内部确定部门具体职责后，将职责分配到相关各内设机构, 由其具体设定绩效目标和指标。</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(1)系统梳理部门全部职责</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主要根据“三定方案”，结合内部机构设置和事业发展规划等</w:t>
      </w:r>
      <w:r>
        <w:rPr>
          <w:rFonts w:hint="eastAsia" w:ascii="仿宋" w:hAnsi="仿宋" w:eastAsia="仿宋"/>
          <w:color w:val="auto"/>
          <w:sz w:val="32"/>
          <w:szCs w:val="32"/>
        </w:rPr>
        <w:t>，</w:t>
      </w:r>
      <w:r>
        <w:rPr>
          <w:rFonts w:ascii="仿宋" w:hAnsi="仿宋" w:eastAsia="仿宋"/>
          <w:color w:val="auto"/>
          <w:sz w:val="32"/>
          <w:szCs w:val="32"/>
        </w:rPr>
        <w:t>梳理出部门的所有核心职责。职责应满足两个条件：一是基本稳定 的(与具体工作活动区分开)，二是具备明确的绩效目标。</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梳理部门职责的基本要求包括：</w:t>
      </w:r>
    </w:p>
    <w:p>
      <w:pPr>
        <w:spacing w:line="360" w:lineRule="auto"/>
        <w:ind w:firstLine="640"/>
        <w:rPr>
          <w:rFonts w:ascii="仿宋" w:hAnsi="仿宋" w:eastAsia="仿宋"/>
          <w:color w:val="auto"/>
          <w:sz w:val="32"/>
          <w:szCs w:val="32"/>
        </w:rPr>
      </w:pPr>
      <w:bookmarkStart w:id="50" w:name="bookmark65"/>
      <w:bookmarkEnd w:id="50"/>
      <w:r>
        <w:rPr>
          <w:rFonts w:hint="eastAsia" w:ascii="仿宋" w:hAnsi="仿宋" w:eastAsia="仿宋"/>
          <w:color w:val="auto"/>
          <w:sz w:val="32"/>
          <w:szCs w:val="32"/>
        </w:rPr>
        <w:t>①</w:t>
      </w:r>
      <w:r>
        <w:rPr>
          <w:rFonts w:ascii="仿宋" w:hAnsi="仿宋" w:eastAsia="仿宋"/>
          <w:color w:val="auto"/>
          <w:sz w:val="32"/>
          <w:szCs w:val="32"/>
        </w:rPr>
        <w:t>主要反映履职职能，弱化行政职能。部门职责分为三类：核心职责、专业职责和行政职责。其中，核心职能为社会提供核心公共服务;专业职能为部门有效达成工作目标提供服务，如科技创新、人才培养等;管理/行政职能提供部门基础保障，如人财物保障等。</w:t>
      </w:r>
    </w:p>
    <w:p>
      <w:pPr>
        <w:spacing w:line="360" w:lineRule="auto"/>
        <w:ind w:firstLine="640" w:firstLineChars="200"/>
        <w:rPr>
          <w:rFonts w:ascii="仿宋" w:hAnsi="仿宋" w:eastAsia="仿宋"/>
          <w:color w:val="auto"/>
          <w:sz w:val="32"/>
          <w:szCs w:val="32"/>
        </w:rPr>
      </w:pPr>
      <w:bookmarkStart w:id="51" w:name="bookmark66"/>
      <w:bookmarkEnd w:id="51"/>
      <w:r>
        <w:rPr>
          <w:rFonts w:hint="eastAsia" w:ascii="仿宋" w:hAnsi="仿宋" w:eastAsia="仿宋"/>
          <w:color w:val="auto"/>
          <w:sz w:val="32"/>
          <w:szCs w:val="32"/>
        </w:rPr>
        <w:t>②</w:t>
      </w:r>
      <w:r>
        <w:rPr>
          <w:rFonts w:ascii="仿宋" w:hAnsi="仿宋" w:eastAsia="仿宋"/>
          <w:color w:val="auto"/>
          <w:sz w:val="32"/>
          <w:szCs w:val="32"/>
        </w:rPr>
        <w:t>主要梳理体现部门使命的核心职责。梳理部门职责时，应重点突出、反映核心职责</w:t>
      </w:r>
      <w:r>
        <w:rPr>
          <w:rFonts w:hint="eastAsia" w:ascii="仿宋" w:hAnsi="仿宋" w:eastAsia="仿宋"/>
          <w:color w:val="auto"/>
          <w:sz w:val="32"/>
          <w:szCs w:val="32"/>
        </w:rPr>
        <w:t>。</w:t>
      </w:r>
      <w:r>
        <w:rPr>
          <w:rFonts w:ascii="仿宋" w:hAnsi="仿宋" w:eastAsia="仿宋"/>
          <w:color w:val="auto"/>
          <w:sz w:val="32"/>
          <w:szCs w:val="32"/>
        </w:rPr>
        <w:t>对三定方案中有，在实践中已经弱化的职责，可不必面面俱到。对三定方案没有，实践中部门职责有新的调整时，可以有依据的添加进入。</w:t>
      </w:r>
    </w:p>
    <w:p>
      <w:pPr>
        <w:spacing w:line="360" w:lineRule="auto"/>
        <w:ind w:firstLine="640" w:firstLineChars="200"/>
        <w:rPr>
          <w:rFonts w:ascii="仿宋" w:hAnsi="仿宋" w:eastAsia="仿宋"/>
          <w:color w:val="auto"/>
          <w:sz w:val="32"/>
          <w:szCs w:val="32"/>
        </w:rPr>
      </w:pPr>
      <w:bookmarkStart w:id="52" w:name="bookmark67"/>
      <w:bookmarkEnd w:id="52"/>
      <w:r>
        <w:rPr>
          <w:rFonts w:hint="eastAsia" w:ascii="仿宋" w:hAnsi="仿宋" w:eastAsia="仿宋"/>
          <w:color w:val="auto"/>
          <w:sz w:val="32"/>
          <w:szCs w:val="32"/>
        </w:rPr>
        <w:t>③</w:t>
      </w:r>
      <w:r>
        <w:rPr>
          <w:rFonts w:ascii="仿宋" w:hAnsi="仿宋" w:eastAsia="仿宋"/>
          <w:color w:val="auto"/>
          <w:sz w:val="32"/>
          <w:szCs w:val="32"/>
        </w:rPr>
        <w:t>部门职责梳理时，可适当结合内设机构设置情况，但不要拘泥于其设置。</w:t>
      </w:r>
    </w:p>
    <w:p>
      <w:pPr>
        <w:spacing w:line="360" w:lineRule="auto"/>
        <w:ind w:firstLine="640" w:firstLineChars="200"/>
        <w:rPr>
          <w:rFonts w:ascii="仿宋" w:hAnsi="仿宋" w:eastAsia="仿宋"/>
          <w:color w:val="auto"/>
          <w:sz w:val="32"/>
          <w:szCs w:val="32"/>
        </w:rPr>
      </w:pPr>
      <w:bookmarkStart w:id="53" w:name="bookmark68"/>
      <w:bookmarkEnd w:id="53"/>
      <w:r>
        <w:rPr>
          <w:rFonts w:hint="eastAsia" w:ascii="仿宋" w:hAnsi="仿宋" w:eastAsia="仿宋"/>
          <w:color w:val="auto"/>
          <w:sz w:val="32"/>
          <w:szCs w:val="32"/>
        </w:rPr>
        <w:t>（2）</w:t>
      </w:r>
      <w:r>
        <w:rPr>
          <w:rFonts w:ascii="仿宋" w:hAnsi="仿宋" w:eastAsia="仿宋"/>
          <w:color w:val="auto"/>
          <w:sz w:val="32"/>
          <w:szCs w:val="32"/>
        </w:rPr>
        <w:t>整合职责体系</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对职责可以按照服务对象、工作内容等维度进行整合，使职责具备恰当的逻辑关系，即同一层次的职责应为并列关系，上下级层次职责应为包含关系，形成职责体系。</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职责整合的目的主要是为了部门职责清晰完整展示，无需对其进行目标和指标设置。</w:t>
      </w:r>
    </w:p>
    <w:p>
      <w:pPr>
        <w:spacing w:line="360" w:lineRule="auto"/>
        <w:ind w:firstLine="640" w:firstLineChars="200"/>
        <w:rPr>
          <w:rFonts w:ascii="仿宋" w:hAnsi="仿宋" w:eastAsia="仿宋"/>
          <w:color w:val="auto"/>
          <w:sz w:val="32"/>
          <w:szCs w:val="32"/>
        </w:rPr>
      </w:pPr>
      <w:bookmarkStart w:id="54" w:name="bookmark69"/>
      <w:bookmarkEnd w:id="54"/>
      <w:r>
        <w:rPr>
          <w:rFonts w:hint="eastAsia" w:ascii="仿宋" w:hAnsi="仿宋" w:eastAsia="仿宋"/>
          <w:color w:val="auto"/>
          <w:sz w:val="32"/>
          <w:szCs w:val="32"/>
        </w:rPr>
        <w:t>（3）</w:t>
      </w:r>
      <w:r>
        <w:rPr>
          <w:rFonts w:ascii="仿宋" w:hAnsi="仿宋" w:eastAsia="仿宋"/>
          <w:color w:val="auto"/>
          <w:sz w:val="32"/>
          <w:szCs w:val="32"/>
        </w:rPr>
        <w:t>确定年度目标和绩效指标</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整理各项职责的绩效目标：部门各内设机构按照分工，根据各类工作规划、相关政策要求和上级考核指标等，整理涉及自身职责的绩效目标。</w:t>
      </w:r>
    </w:p>
    <w:p>
      <w:pPr>
        <w:spacing w:line="360" w:lineRule="auto"/>
        <w:ind w:firstLine="640" w:firstLineChars="200"/>
        <w:rPr>
          <w:rFonts w:ascii="仿宋" w:hAnsi="仿宋" w:eastAsia="仿宋"/>
          <w:color w:val="auto"/>
          <w:sz w:val="32"/>
          <w:szCs w:val="32"/>
        </w:rPr>
      </w:pPr>
      <w:r>
        <w:rPr>
          <w:rFonts w:ascii="仿宋" w:hAnsi="仿宋" w:eastAsia="仿宋"/>
          <w:color w:val="auto"/>
          <w:sz w:val="32"/>
          <w:szCs w:val="32"/>
        </w:rPr>
        <w:t>设置绩效指标、指标解释和指标取值：绩效指标是对绩效目标进行具体化和量化，指标解释是对绩效指标测度的具体描述。</w:t>
      </w:r>
    </w:p>
    <w:p>
      <w:pPr>
        <w:spacing w:line="360" w:lineRule="auto"/>
        <w:ind w:firstLine="640" w:firstLineChars="200"/>
        <w:rPr>
          <w:rFonts w:hint="eastAsia" w:ascii="仿宋" w:hAnsi="仿宋" w:eastAsia="仿宋"/>
          <w:color w:val="auto"/>
          <w:sz w:val="32"/>
          <w:szCs w:val="32"/>
        </w:rPr>
      </w:pPr>
      <w:r>
        <w:rPr>
          <w:rFonts w:ascii="仿宋" w:hAnsi="仿宋" w:eastAsia="仿宋"/>
          <w:color w:val="auto"/>
          <w:sz w:val="32"/>
          <w:szCs w:val="32"/>
        </w:rPr>
        <w:t>对绩效指标设置的要求具体包括：</w:t>
      </w:r>
      <w:bookmarkStart w:id="55" w:name="bookmark70"/>
      <w:bookmarkEnd w:id="55"/>
    </w:p>
    <w:p>
      <w:pPr>
        <w:spacing w:line="360" w:lineRule="auto"/>
        <w:ind w:firstLine="640"/>
        <w:rPr>
          <w:rFonts w:ascii="仿宋" w:hAnsi="仿宋" w:eastAsia="仿宋"/>
          <w:color w:val="auto"/>
          <w:sz w:val="32"/>
          <w:szCs w:val="32"/>
        </w:rPr>
      </w:pPr>
      <w:r>
        <w:rPr>
          <w:rFonts w:hint="eastAsia" w:ascii="仿宋" w:hAnsi="仿宋" w:eastAsia="仿宋"/>
          <w:color w:val="auto"/>
          <w:sz w:val="32"/>
          <w:szCs w:val="32"/>
        </w:rPr>
        <w:t>①</w:t>
      </w:r>
      <w:r>
        <w:rPr>
          <w:rFonts w:hint="eastAsia" w:ascii="仿宋" w:hAnsi="仿宋" w:eastAsia="仿宋"/>
          <w:vanish/>
          <w:color w:val="auto"/>
          <w:sz w:val="32"/>
          <w:szCs w:val="32"/>
        </w:rPr>
        <w:t>绩</w:t>
      </w:r>
      <w:r>
        <w:rPr>
          <w:rFonts w:ascii="仿宋" w:hAnsi="仿宋" w:eastAsia="仿宋"/>
          <w:color w:val="auto"/>
          <w:sz w:val="32"/>
          <w:szCs w:val="32"/>
        </w:rPr>
        <w:t>效指标要反映职责履行的核心指标,而不是反映日常具体工作内容或产出的指标。设置绩效指标时，要避免直接将常规工作</w:t>
      </w:r>
      <w:r>
        <w:rPr>
          <w:rFonts w:hint="eastAsia" w:ascii="仿宋" w:hAnsi="仿宋" w:eastAsia="仿宋"/>
          <w:color w:val="auto"/>
          <w:sz w:val="32"/>
          <w:szCs w:val="32"/>
        </w:rPr>
        <w:t>任务完成情况直接作为考核部门职责的绩效指标。</w:t>
      </w:r>
    </w:p>
    <w:p>
      <w:pPr>
        <w:spacing w:line="360" w:lineRule="auto"/>
        <w:ind w:left="640"/>
        <w:rPr>
          <w:rFonts w:ascii="仿宋" w:hAnsi="仿宋" w:eastAsia="仿宋"/>
          <w:color w:val="auto"/>
          <w:sz w:val="32"/>
          <w:szCs w:val="32"/>
        </w:rPr>
      </w:pPr>
      <w:r>
        <w:rPr>
          <w:rFonts w:hint="eastAsia" w:ascii="仿宋" w:hAnsi="仿宋" w:eastAsia="仿宋"/>
          <w:color w:val="auto"/>
          <w:sz w:val="32"/>
          <w:szCs w:val="32"/>
        </w:rPr>
        <w:t>②绩效指标应以结果性指标为主，尽量减少过程性指标。</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③符合现阶段工作改进方向或事业发展方向。</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④民生、社会服务类有明确服务对象的职责，应设置服务对象满意度指标。</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⑤指标设置以定量指标为主；也可以设置定性指标，但是要可衡量；年度指标值应具有挑战性。</w:t>
      </w:r>
    </w:p>
    <w:p>
      <w:pPr>
        <w:spacing w:line="360" w:lineRule="auto"/>
        <w:ind w:firstLine="640" w:firstLineChars="200"/>
        <w:rPr>
          <w:rFonts w:asciiTheme="minorEastAsia" w:hAnsiTheme="minorEastAsia"/>
          <w:color w:val="auto"/>
          <w:sz w:val="32"/>
          <w:szCs w:val="32"/>
        </w:rPr>
      </w:pPr>
      <w:r>
        <w:rPr>
          <w:rFonts w:hint="eastAsia" w:ascii="仿宋" w:hAnsi="仿宋" w:eastAsia="仿宋"/>
          <w:color w:val="auto"/>
          <w:sz w:val="32"/>
          <w:szCs w:val="32"/>
        </w:rPr>
        <w:t>⑥设置核心指标。</w:t>
      </w:r>
    </w:p>
    <w:sectPr>
      <w:footerReference r:id="rId5" w:type="first"/>
      <w:footerReference r:id="rId3" w:type="default"/>
      <w:footerReference r:id="rId4" w:type="even"/>
      <w:pgSz w:w="11906" w:h="16838"/>
      <w:pgMar w:top="1701" w:right="1247"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w:pict>
        <v:shape id="Shape 21" o:spid="_x0000_s1035" o:spt="202" type="#_x0000_t202" style="position:absolute;left:0pt;margin-left:73.35pt;margin-top:769.8pt;height:8.65pt;width:41.75pt;mso-position-horizontal-relative:page;mso-position-vertical-relative:page;mso-wrap-style:none;z-index:-251656192;mso-width-relative:page;mso-height-relative:page;" filled="f" stroked="f" coordsize="21600,21600" o:gfxdata="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yHVgrZAAAADQEAAA8AAAAAAAAAAQAgAAAAIgAAAGRy&#10;cy9kb3ducmV2LnhtbFBLAQIUABQAAAAIAIdO4kCK3hmekgEAACMDAAAOAAAAAAAAAAEAIAAAACgB&#10;AABkcnMvZTJvRG9jLnhtbFBLBQYAAAAABgAGAFkBAAAsBQAAAAA=&#10;">
          <v:path/>
          <v:fill on="f" focussize="0,0"/>
          <v:stroke on="f" joinstyle="miter"/>
          <v:imagedata o:title=""/>
          <o:lock v:ext="edit"/>
          <v:textbox inset="0mm,0mm,0mm,0mm" style="mso-fit-shape-to-text:t;">
            <w:txbxContent>
              <w:p>
                <w:pPr>
                  <w:pStyle w:val="13"/>
                  <w:rPr>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w:pict>
        <v:shape id="Shape 23" o:spid="_x0000_s1036" o:spt="202" type="#_x0000_t202" style="position:absolute;left:0pt;margin-left:73.35pt;margin-top:769.8pt;height:8.65pt;width:41.75pt;mso-position-horizontal-relative:page;mso-position-vertical-relative:page;mso-wrap-style:none;z-index:-251655168;mso-width-relative:page;mso-height-relative:page;" filled="f" stroked="f" coordsize="21600,21600" o:gfxdata="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yHVgrZAAAADQEAAA8AAAAAAAAAAQAgAAAAIgAAAGRy&#10;cy9kb3ducmV2LnhtbFBLAQIUABQAAAAIAIdO4kCKX90ukgEAACMDAAAOAAAAAAAAAAEAIAAAACgB&#10;AABkcnMvZTJvRG9jLnhtbFBLBQYAAAAABgAGAFkBAAAsBQAAAAA=&#10;">
          <v:path/>
          <v:fill on="f" focussize="0,0"/>
          <v:stroke on="f" joinstyle="miter"/>
          <v:imagedata o:title=""/>
          <o:lock v:ext="edit"/>
          <v:textbox inset="0mm,0mm,0mm,0mm" style="mso-fit-shape-to-text:t;">
            <w:txbxContent>
              <w:p>
                <w:pPr>
                  <w:pStyle w:val="13"/>
                </w:pPr>
                <w:r>
                  <w:rPr>
                    <w:rFonts w:ascii="Times New Roman" w:hAnsi="Times New Roman" w:eastAsia="Times New Roman" w:cs="Times New Roman"/>
                    <w:color w:val="000000"/>
                    <w:sz w:val="24"/>
                    <w:szCs w:val="24"/>
                  </w:rPr>
                  <w:t>——8 _</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w:pict>
        <v:shape id="Shape 25" o:spid="_x0000_s1034" o:spt="202" type="#_x0000_t202" style="position:absolute;left:0pt;margin-left:477.05pt;margin-top:770.05pt;height:8.4pt;width:43.9pt;mso-position-horizontal-relative:page;mso-position-vertical-relative:page;mso-wrap-style:none;z-index:-251657216;mso-width-relative:page;mso-height-relative:page;" filled="f" stroked="f" coordsize="21600,21600" o:gfxdata="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C4OT6tgAAAAOAQAADwAAAAAAAAABACAAAAAiAAAAZHJzL2Rv&#10;d25yZXYueG1sUEsBAhQAFAAAAAgAh07iQLxGgayPAQAAIwMAAA4AAAAAAAAAAQAgAAAAJwEAAGRy&#10;cy9lMm9Eb2MueG1sUEsFBgAAAAAGAAYAWQEAACgFAAAAAA==&#10;">
          <v:path/>
          <v:fill on="f" focussize="0,0"/>
          <v:stroke on="f" joinstyle="miter"/>
          <v:imagedata o:title=""/>
          <o:lock v:ext="edit"/>
          <v:textbox inset="0mm,0mm,0mm,0mm" style="mso-fit-shape-to-text:t;">
            <w:txbxContent>
              <w:p>
                <w:pPr>
                  <w:pStyle w:val="13"/>
                </w:pPr>
                <w:r>
                  <w:rPr>
                    <w:rFonts w:ascii="Times New Roman" w:hAnsi="Times New Roman" w:eastAsia="Times New Roman" w:cs="Times New Roman"/>
                    <w:color w:val="000000"/>
                    <w:sz w:val="24"/>
                    <w:szCs w:val="24"/>
                  </w:rPr>
                  <w:t>—7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86486"/>
    <w:multiLevelType w:val="multilevel"/>
    <w:tmpl w:val="09886486"/>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53EE3"/>
    <w:rsid w:val="0001707A"/>
    <w:rsid w:val="000546D7"/>
    <w:rsid w:val="00060588"/>
    <w:rsid w:val="00122542"/>
    <w:rsid w:val="00181840"/>
    <w:rsid w:val="001E5EA5"/>
    <w:rsid w:val="00224E1E"/>
    <w:rsid w:val="0022696D"/>
    <w:rsid w:val="00343703"/>
    <w:rsid w:val="0036631B"/>
    <w:rsid w:val="00381732"/>
    <w:rsid w:val="00384991"/>
    <w:rsid w:val="00465439"/>
    <w:rsid w:val="005008CD"/>
    <w:rsid w:val="005A665E"/>
    <w:rsid w:val="00692B9A"/>
    <w:rsid w:val="006D660E"/>
    <w:rsid w:val="006E78E6"/>
    <w:rsid w:val="00725085"/>
    <w:rsid w:val="00764CE9"/>
    <w:rsid w:val="007F1CEA"/>
    <w:rsid w:val="00834BA1"/>
    <w:rsid w:val="008748E2"/>
    <w:rsid w:val="008A1B71"/>
    <w:rsid w:val="008B707D"/>
    <w:rsid w:val="00946610"/>
    <w:rsid w:val="009D2C94"/>
    <w:rsid w:val="009E6CC9"/>
    <w:rsid w:val="00A06E9E"/>
    <w:rsid w:val="00A10BBF"/>
    <w:rsid w:val="00A83079"/>
    <w:rsid w:val="00AB052C"/>
    <w:rsid w:val="00B50AB7"/>
    <w:rsid w:val="00BF4F87"/>
    <w:rsid w:val="00C44DC1"/>
    <w:rsid w:val="00D53EE3"/>
    <w:rsid w:val="00DA3666"/>
    <w:rsid w:val="00DB702D"/>
    <w:rsid w:val="00DE0A27"/>
    <w:rsid w:val="00E22F91"/>
    <w:rsid w:val="00ED4628"/>
    <w:rsid w:val="00F402DD"/>
    <w:rsid w:val="062F3A61"/>
    <w:rsid w:val="34342251"/>
    <w:rsid w:val="77EC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Body text|1_"/>
    <w:basedOn w:val="6"/>
    <w:link w:val="11"/>
    <w:qFormat/>
    <w:uiPriority w:val="0"/>
    <w:rPr>
      <w:rFonts w:ascii="宋体" w:hAnsi="宋体" w:eastAsia="宋体" w:cs="宋体"/>
      <w:sz w:val="30"/>
      <w:szCs w:val="30"/>
      <w:lang w:val="zh-TW" w:eastAsia="zh-TW" w:bidi="zh-TW"/>
    </w:rPr>
  </w:style>
  <w:style w:type="paragraph" w:customStyle="1" w:styleId="11">
    <w:name w:val="Body text|1"/>
    <w:basedOn w:val="1"/>
    <w:link w:val="10"/>
    <w:uiPriority w:val="0"/>
    <w:pPr>
      <w:spacing w:line="394" w:lineRule="auto"/>
      <w:ind w:firstLine="400"/>
      <w:jc w:val="left"/>
    </w:pPr>
    <w:rPr>
      <w:rFonts w:ascii="宋体" w:hAnsi="宋体" w:eastAsia="宋体" w:cs="宋体"/>
      <w:sz w:val="30"/>
      <w:szCs w:val="30"/>
      <w:lang w:val="zh-TW" w:eastAsia="zh-TW" w:bidi="zh-TW"/>
    </w:rPr>
  </w:style>
  <w:style w:type="character" w:customStyle="1" w:styleId="12">
    <w:name w:val="Header or footer|1_"/>
    <w:basedOn w:val="6"/>
    <w:link w:val="13"/>
    <w:uiPriority w:val="0"/>
    <w:rPr>
      <w:lang w:val="zh-TW" w:eastAsia="zh-TW" w:bidi="zh-TW"/>
    </w:rPr>
  </w:style>
  <w:style w:type="paragraph" w:customStyle="1" w:styleId="13">
    <w:name w:val="Header or footer|1"/>
    <w:basedOn w:val="1"/>
    <w:link w:val="12"/>
    <w:qFormat/>
    <w:uiPriority w:val="0"/>
    <w:pPr>
      <w:jc w:val="left"/>
    </w:pPr>
    <w:rPr>
      <w:lang w:val="zh-TW" w:eastAsia="zh-TW" w:bidi="zh-TW"/>
    </w:rPr>
  </w:style>
  <w:style w:type="character" w:customStyle="1" w:styleId="14">
    <w:name w:val="Table of contents|1_"/>
    <w:basedOn w:val="6"/>
    <w:link w:val="15"/>
    <w:uiPriority w:val="0"/>
    <w:rPr>
      <w:rFonts w:ascii="宋体" w:hAnsi="宋体" w:eastAsia="宋体" w:cs="宋体"/>
      <w:sz w:val="30"/>
      <w:szCs w:val="30"/>
      <w:lang w:val="zh-TW" w:eastAsia="zh-TW" w:bidi="zh-TW"/>
    </w:rPr>
  </w:style>
  <w:style w:type="paragraph" w:customStyle="1" w:styleId="15">
    <w:name w:val="Table of contents|1"/>
    <w:basedOn w:val="1"/>
    <w:link w:val="14"/>
    <w:qFormat/>
    <w:uiPriority w:val="0"/>
    <w:pPr>
      <w:spacing w:line="565" w:lineRule="exact"/>
      <w:ind w:firstLine="790"/>
      <w:jc w:val="left"/>
    </w:pPr>
    <w:rPr>
      <w:rFonts w:ascii="宋体" w:hAnsi="宋体" w:eastAsia="宋体" w:cs="宋体"/>
      <w:sz w:val="30"/>
      <w:szCs w:val="30"/>
      <w:lang w:val="zh-TW" w:eastAsia="zh-TW" w:bidi="zh-TW"/>
    </w:rPr>
  </w:style>
  <w:style w:type="character" w:customStyle="1" w:styleId="16">
    <w:name w:val="Heading #2|1_"/>
    <w:basedOn w:val="6"/>
    <w:link w:val="17"/>
    <w:uiPriority w:val="0"/>
    <w:rPr>
      <w:rFonts w:ascii="宋体" w:hAnsi="宋体" w:eastAsia="宋体" w:cs="宋体"/>
      <w:sz w:val="42"/>
      <w:szCs w:val="42"/>
      <w:lang w:val="zh-TW" w:eastAsia="zh-TW" w:bidi="zh-TW"/>
    </w:rPr>
  </w:style>
  <w:style w:type="paragraph" w:customStyle="1" w:styleId="17">
    <w:name w:val="Heading #2|1"/>
    <w:basedOn w:val="1"/>
    <w:link w:val="16"/>
    <w:uiPriority w:val="0"/>
    <w:pPr>
      <w:spacing w:before="250" w:after="560" w:line="605" w:lineRule="exact"/>
      <w:jc w:val="center"/>
      <w:outlineLvl w:val="1"/>
    </w:pPr>
    <w:rPr>
      <w:rFonts w:ascii="宋体" w:hAnsi="宋体" w:eastAsia="宋体" w:cs="宋体"/>
      <w:sz w:val="42"/>
      <w:szCs w:val="42"/>
      <w:lang w:val="zh-TW" w:eastAsia="zh-TW" w:bidi="zh-TW"/>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36"/>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858</Words>
  <Characters>4892</Characters>
  <Lines>40</Lines>
  <Paragraphs>11</Paragraphs>
  <TotalTime>3</TotalTime>
  <ScaleCrop>false</ScaleCrop>
  <LinksUpToDate>false</LinksUpToDate>
  <CharactersWithSpaces>5739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2021-04-15T02:32:00Z</dcterms:created>
  <dc:creator>微软用户</dc:creator>
  <cp:lastModifiedBy>sophie</cp:lastModifiedBy>
  <cp:lastPrinted>2021-04-22T08:21:00Z</cp:lastPrinted>
  <dcterms:modified xsi:type="dcterms:W3CDTF">2021-04-26T02:07:47Z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9E5BC584AD294996B3542DE646BADE97</vt:lpwstr>
  </property>
</Properties>
</file>